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69" w:type="dxa"/>
        <w:tblLayout w:type="fixed"/>
        <w:tblCellMar>
          <w:left w:w="10" w:type="dxa"/>
          <w:right w:w="10" w:type="dxa"/>
        </w:tblCellMar>
        <w:tblLook w:val="0000" w:firstRow="0" w:lastRow="0" w:firstColumn="0" w:lastColumn="0" w:noHBand="0" w:noVBand="0"/>
      </w:tblPr>
      <w:tblGrid>
        <w:gridCol w:w="3174"/>
        <w:gridCol w:w="5329"/>
        <w:gridCol w:w="566"/>
      </w:tblGrid>
      <w:tr w:rsidR="00A34432" w:rsidRPr="009B48A0" w14:paraId="02DD8736" w14:textId="77777777" w:rsidTr="00DF210A">
        <w:tc>
          <w:tcPr>
            <w:tcW w:w="3174" w:type="dxa"/>
            <w:vMerge w:val="restart"/>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14650755" w14:textId="77777777" w:rsidR="00A34432" w:rsidRPr="009B48A0" w:rsidRDefault="00A34432" w:rsidP="00F4700C">
            <w:pPr>
              <w:suppressLineNumbers/>
              <w:autoSpaceDE w:val="0"/>
              <w:jc w:val="center"/>
              <w:rPr>
                <w:rFonts w:cs="Arial"/>
                <w:sz w:val="22"/>
                <w:szCs w:val="22"/>
                <w:lang w:eastAsia="en-US"/>
              </w:rPr>
            </w:pPr>
            <w:r w:rsidRPr="009B48A0">
              <w:rPr>
                <w:rFonts w:cs="Arial"/>
                <w:b/>
                <w:color w:val="C00000"/>
                <w:sz w:val="22"/>
                <w:szCs w:val="22"/>
                <w:lang w:eastAsia="en-US"/>
              </w:rPr>
              <w:t>IMS</w:t>
            </w:r>
            <w:r w:rsidRPr="009B48A0">
              <w:rPr>
                <w:rFonts w:cs="Arial"/>
                <w:b/>
                <w:sz w:val="22"/>
                <w:szCs w:val="22"/>
                <w:lang w:eastAsia="en-US"/>
              </w:rPr>
              <w:t xml:space="preserve"> Services Vorlage</w:t>
            </w:r>
          </w:p>
        </w:tc>
        <w:tc>
          <w:tcPr>
            <w:tcW w:w="5895" w:type="dxa"/>
            <w:gridSpan w:val="2"/>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02D6F6DD" w14:textId="77777777" w:rsidR="00A34432" w:rsidRPr="009B48A0" w:rsidRDefault="00A34432" w:rsidP="00F4700C">
            <w:pPr>
              <w:suppressLineNumbers/>
              <w:autoSpaceDE w:val="0"/>
              <w:jc w:val="right"/>
              <w:rPr>
                <w:rFonts w:cs="Arial"/>
                <w:b/>
                <w:sz w:val="22"/>
                <w:szCs w:val="22"/>
                <w:shd w:val="clear" w:color="auto" w:fill="FFFFFF" w:themeFill="background1"/>
                <w:lang w:eastAsia="en-US"/>
              </w:rPr>
            </w:pPr>
            <w:r w:rsidRPr="009B48A0">
              <w:rPr>
                <w:rFonts w:cs="Arial"/>
                <w:b/>
                <w:sz w:val="22"/>
                <w:szCs w:val="22"/>
                <w:shd w:val="clear" w:color="auto" w:fill="FFFFFF" w:themeFill="background1"/>
                <w:lang w:eastAsia="en-US"/>
              </w:rPr>
              <w:t xml:space="preserve">Hygieneorganisation Arztpraxen </w:t>
            </w:r>
          </w:p>
          <w:p w14:paraId="0BC92B7E" w14:textId="77777777" w:rsidR="00A34432" w:rsidRPr="009B48A0" w:rsidRDefault="00A34432" w:rsidP="00F4700C">
            <w:pPr>
              <w:suppressLineNumbers/>
              <w:autoSpaceDE w:val="0"/>
              <w:jc w:val="right"/>
              <w:rPr>
                <w:rFonts w:cs="Arial"/>
                <w:b/>
                <w:sz w:val="22"/>
                <w:szCs w:val="22"/>
                <w:shd w:val="clear" w:color="auto" w:fill="FFFFFF" w:themeFill="background1"/>
                <w:lang w:eastAsia="en-US"/>
              </w:rPr>
            </w:pPr>
          </w:p>
          <w:p w14:paraId="3F9644E3" w14:textId="77777777" w:rsidR="00A34432" w:rsidRPr="009B48A0" w:rsidRDefault="00A34432" w:rsidP="00F4700C">
            <w:pPr>
              <w:suppressLineNumbers/>
              <w:autoSpaceDE w:val="0"/>
              <w:jc w:val="right"/>
              <w:rPr>
                <w:rFonts w:cs="Arial"/>
                <w:b/>
                <w:color w:val="FFFF00"/>
                <w:sz w:val="22"/>
                <w:szCs w:val="22"/>
                <w:shd w:val="clear" w:color="auto" w:fill="FF0000"/>
                <w:lang w:eastAsia="en-US"/>
              </w:rPr>
            </w:pPr>
            <w:r w:rsidRPr="009B48A0">
              <w:rPr>
                <w:rFonts w:cs="Arial"/>
                <w:b/>
                <w:sz w:val="22"/>
                <w:szCs w:val="22"/>
                <w:shd w:val="clear" w:color="auto" w:fill="FFFFFF" w:themeFill="background1"/>
                <w:lang w:eastAsia="en-US"/>
              </w:rPr>
              <w:t xml:space="preserve">Ordner 1 Register </w:t>
            </w:r>
            <w:r>
              <w:rPr>
                <w:rFonts w:cs="Arial"/>
                <w:b/>
                <w:sz w:val="22"/>
                <w:szCs w:val="22"/>
                <w:shd w:val="clear" w:color="auto" w:fill="FFFFFF" w:themeFill="background1"/>
                <w:lang w:eastAsia="en-US"/>
              </w:rPr>
              <w:t>24</w:t>
            </w:r>
          </w:p>
        </w:tc>
      </w:tr>
      <w:tr w:rsidR="00A34432" w:rsidRPr="009B48A0" w14:paraId="3A3B0315" w14:textId="77777777" w:rsidTr="00DF210A">
        <w:trPr>
          <w:trHeight w:val="348"/>
        </w:trPr>
        <w:tc>
          <w:tcPr>
            <w:tcW w:w="3174" w:type="dxa"/>
            <w:vMerge/>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0798C324" w14:textId="77777777" w:rsidR="00A34432" w:rsidRPr="009B48A0" w:rsidRDefault="00A34432" w:rsidP="00F4700C"/>
        </w:tc>
        <w:tc>
          <w:tcPr>
            <w:tcW w:w="5329" w:type="dxa"/>
            <w:tcBorders>
              <w:left w:val="single" w:sz="2" w:space="0" w:color="000000"/>
              <w:bottom w:val="single" w:sz="2" w:space="0" w:color="000000"/>
            </w:tcBorders>
            <w:tcMar>
              <w:top w:w="55" w:type="dxa"/>
              <w:left w:w="55" w:type="dxa"/>
              <w:bottom w:w="55" w:type="dxa"/>
              <w:right w:w="55" w:type="dxa"/>
            </w:tcMar>
            <w:vAlign w:val="center"/>
          </w:tcPr>
          <w:p w14:paraId="0A82E91E" w14:textId="77777777" w:rsidR="00A34432" w:rsidRPr="009B48A0" w:rsidRDefault="00A34432" w:rsidP="00F4700C">
            <w:pPr>
              <w:suppressLineNumbers/>
              <w:autoSpaceDE w:val="0"/>
              <w:jc w:val="center"/>
              <w:rPr>
                <w:rFonts w:cs="Arial"/>
                <w:sz w:val="22"/>
                <w:szCs w:val="22"/>
                <w:lang w:eastAsia="en-US"/>
              </w:rPr>
            </w:pPr>
            <w:r w:rsidRPr="009B48A0">
              <w:rPr>
                <w:rFonts w:cs="Arial"/>
                <w:sz w:val="22"/>
                <w:szCs w:val="22"/>
                <w:lang w:eastAsia="en-US"/>
              </w:rPr>
              <w:t>Hygieneorganisation</w:t>
            </w:r>
          </w:p>
        </w:tc>
        <w:tc>
          <w:tcPr>
            <w:tcW w:w="566"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5B35CE5F" w14:textId="77777777" w:rsidR="00A34432" w:rsidRPr="009B48A0" w:rsidRDefault="00A34432" w:rsidP="00F4700C">
            <w:pPr>
              <w:suppressLineNumbers/>
              <w:autoSpaceDE w:val="0"/>
              <w:jc w:val="center"/>
              <w:rPr>
                <w:rFonts w:cs="Arial"/>
                <w:sz w:val="22"/>
                <w:szCs w:val="22"/>
                <w:lang w:eastAsia="en-US"/>
              </w:rPr>
            </w:pPr>
          </w:p>
        </w:tc>
      </w:tr>
      <w:tr w:rsidR="00A34432" w:rsidRPr="009B48A0" w14:paraId="566EAA1A" w14:textId="77777777" w:rsidTr="00DF210A">
        <w:trPr>
          <w:trHeight w:val="283"/>
        </w:trPr>
        <w:tc>
          <w:tcPr>
            <w:tcW w:w="9069" w:type="dxa"/>
            <w:gridSpan w:val="3"/>
            <w:tcBorders>
              <w:bottom w:val="single" w:sz="2" w:space="0" w:color="000000"/>
            </w:tcBorders>
            <w:tcMar>
              <w:top w:w="55" w:type="dxa"/>
              <w:left w:w="55" w:type="dxa"/>
              <w:bottom w:w="55" w:type="dxa"/>
              <w:right w:w="55" w:type="dxa"/>
            </w:tcMar>
          </w:tcPr>
          <w:p w14:paraId="04F21725" w14:textId="77777777" w:rsidR="00A34432" w:rsidRPr="009B48A0" w:rsidRDefault="00A34432" w:rsidP="00F4700C">
            <w:pPr>
              <w:suppressLineNumbers/>
              <w:autoSpaceDE w:val="0"/>
              <w:rPr>
                <w:rFonts w:cs="Arial"/>
                <w:sz w:val="16"/>
                <w:szCs w:val="16"/>
                <w:lang w:eastAsia="en-US"/>
              </w:rPr>
            </w:pPr>
          </w:p>
        </w:tc>
      </w:tr>
      <w:tr w:rsidR="00A34432" w:rsidRPr="009B48A0" w14:paraId="530C3DC5" w14:textId="77777777" w:rsidTr="00DF210A">
        <w:trPr>
          <w:trHeight w:val="283"/>
        </w:trPr>
        <w:tc>
          <w:tcPr>
            <w:tcW w:w="9069" w:type="dxa"/>
            <w:gridSpan w:val="3"/>
            <w:tcBorders>
              <w:left w:val="single" w:sz="2" w:space="0" w:color="000000"/>
              <w:bottom w:val="single" w:sz="2" w:space="0" w:color="000000"/>
              <w:right w:val="single" w:sz="2" w:space="0" w:color="000000"/>
            </w:tcBorders>
            <w:tcMar>
              <w:top w:w="55" w:type="dxa"/>
              <w:left w:w="55" w:type="dxa"/>
              <w:bottom w:w="55" w:type="dxa"/>
              <w:right w:w="55" w:type="dxa"/>
            </w:tcMar>
          </w:tcPr>
          <w:p w14:paraId="6E80821B" w14:textId="77777777" w:rsidR="00A34432" w:rsidRPr="009B48A0" w:rsidRDefault="00A34432" w:rsidP="00F4700C">
            <w:pPr>
              <w:jc w:val="both"/>
              <w:rPr>
                <w:sz w:val="22"/>
                <w:szCs w:val="22"/>
              </w:rPr>
            </w:pPr>
            <w:r>
              <w:rPr>
                <w:sz w:val="22"/>
                <w:szCs w:val="22"/>
              </w:rPr>
              <w:t>Hygiene bei Medikamenten inkl. Impfstoffe</w:t>
            </w:r>
          </w:p>
        </w:tc>
      </w:tr>
    </w:tbl>
    <w:p w14:paraId="17AA8111" w14:textId="77777777" w:rsidR="00A34432" w:rsidRPr="009B48A0" w:rsidRDefault="00A34432" w:rsidP="00A34432">
      <w:pPr>
        <w:rPr>
          <w:sz w:val="22"/>
          <w:szCs w:val="22"/>
        </w:rPr>
      </w:pPr>
    </w:p>
    <w:p w14:paraId="03261C22" w14:textId="77777777" w:rsidR="00A34432" w:rsidRPr="00CE0D16" w:rsidRDefault="00A34432" w:rsidP="00A34432">
      <w:pPr>
        <w:jc w:val="both"/>
        <w:rPr>
          <w:sz w:val="22"/>
          <w:szCs w:val="22"/>
        </w:rPr>
      </w:pPr>
      <w:r w:rsidRPr="00CE0D16">
        <w:rPr>
          <w:sz w:val="22"/>
          <w:szCs w:val="22"/>
        </w:rPr>
        <w:t>Arbeitsflächen, auf denen Medikamente gerichtet werden, sind vor Spritzwasser geschützt. In jedem Fall erfolgt vor dem Umgang mit Me</w:t>
      </w:r>
      <w:r>
        <w:rPr>
          <w:sz w:val="22"/>
          <w:szCs w:val="22"/>
        </w:rPr>
        <w:t xml:space="preserve">dikamenten eine Hände- und </w:t>
      </w:r>
      <w:r w:rsidRPr="00CE0D16">
        <w:rPr>
          <w:sz w:val="22"/>
          <w:szCs w:val="22"/>
        </w:rPr>
        <w:t xml:space="preserve">eine Flächendesinfektion. </w:t>
      </w:r>
    </w:p>
    <w:p w14:paraId="6811E53E" w14:textId="77777777" w:rsidR="00A34432" w:rsidRPr="00CE0D16" w:rsidRDefault="00A34432" w:rsidP="00A34432">
      <w:pPr>
        <w:jc w:val="both"/>
        <w:rPr>
          <w:sz w:val="22"/>
          <w:szCs w:val="22"/>
        </w:rPr>
      </w:pPr>
      <w:r w:rsidRPr="00CE0D16">
        <w:rPr>
          <w:sz w:val="22"/>
          <w:szCs w:val="22"/>
        </w:rPr>
        <w:t xml:space="preserve"> </w:t>
      </w:r>
    </w:p>
    <w:p w14:paraId="119471C4" w14:textId="77777777" w:rsidR="00A34432" w:rsidRDefault="00A34432" w:rsidP="00A34432">
      <w:pPr>
        <w:jc w:val="both"/>
        <w:rPr>
          <w:sz w:val="22"/>
          <w:szCs w:val="22"/>
        </w:rPr>
      </w:pPr>
      <w:r w:rsidRPr="00CE0D16">
        <w:rPr>
          <w:sz w:val="22"/>
          <w:szCs w:val="22"/>
        </w:rPr>
        <w:t xml:space="preserve">Warum: </w:t>
      </w:r>
    </w:p>
    <w:p w14:paraId="06DD2873" w14:textId="77777777" w:rsidR="00A34432" w:rsidRDefault="00A34432" w:rsidP="00A34432">
      <w:pPr>
        <w:jc w:val="both"/>
        <w:rPr>
          <w:sz w:val="22"/>
          <w:szCs w:val="22"/>
        </w:rPr>
      </w:pPr>
    </w:p>
    <w:p w14:paraId="6D6578C0" w14:textId="77777777" w:rsidR="00A34432" w:rsidRPr="00CE0D16" w:rsidRDefault="00A34432" w:rsidP="00A34432">
      <w:pPr>
        <w:jc w:val="both"/>
        <w:rPr>
          <w:sz w:val="22"/>
          <w:szCs w:val="22"/>
        </w:rPr>
      </w:pPr>
      <w:r w:rsidRPr="00CE0D16">
        <w:rPr>
          <w:sz w:val="22"/>
          <w:szCs w:val="22"/>
        </w:rPr>
        <w:t xml:space="preserve">Alle Medikamente werden so gelagert, dass die Zusammensetzung oder die Wirkung des Medikamentes nicht beeinträchtigt wird. Für den korrekten Umgang mit Medikamenten werden die Herstellerangaben beachtet. </w:t>
      </w:r>
    </w:p>
    <w:p w14:paraId="68D647B2" w14:textId="77777777" w:rsidR="00A34432" w:rsidRPr="00CE0D16" w:rsidRDefault="00A34432" w:rsidP="00A34432">
      <w:pPr>
        <w:jc w:val="both"/>
        <w:rPr>
          <w:sz w:val="22"/>
          <w:szCs w:val="22"/>
        </w:rPr>
      </w:pPr>
      <w:r w:rsidRPr="00CE0D16">
        <w:rPr>
          <w:sz w:val="22"/>
          <w:szCs w:val="22"/>
        </w:rPr>
        <w:t xml:space="preserve"> </w:t>
      </w:r>
    </w:p>
    <w:p w14:paraId="7F8971DE" w14:textId="77777777" w:rsidR="00A34432" w:rsidRDefault="00A34432" w:rsidP="00A34432">
      <w:pPr>
        <w:jc w:val="both"/>
        <w:rPr>
          <w:sz w:val="22"/>
          <w:szCs w:val="22"/>
        </w:rPr>
      </w:pPr>
      <w:r w:rsidRPr="00CE0D16">
        <w:rPr>
          <w:sz w:val="22"/>
          <w:szCs w:val="22"/>
        </w:rPr>
        <w:t xml:space="preserve">Wie: </w:t>
      </w:r>
    </w:p>
    <w:p w14:paraId="56E25BAA" w14:textId="77777777" w:rsidR="00A34432" w:rsidRDefault="00A34432" w:rsidP="00A34432">
      <w:pPr>
        <w:jc w:val="both"/>
        <w:rPr>
          <w:sz w:val="22"/>
          <w:szCs w:val="22"/>
        </w:rPr>
      </w:pPr>
    </w:p>
    <w:p w14:paraId="44E37913" w14:textId="77777777" w:rsidR="00A34432" w:rsidRDefault="00A34432" w:rsidP="00A34432">
      <w:pPr>
        <w:jc w:val="both"/>
        <w:rPr>
          <w:sz w:val="22"/>
          <w:szCs w:val="22"/>
        </w:rPr>
      </w:pPr>
      <w:r w:rsidRPr="00CE0D16">
        <w:rPr>
          <w:sz w:val="22"/>
          <w:szCs w:val="22"/>
        </w:rPr>
        <w:t xml:space="preserve">Die </w:t>
      </w:r>
      <w:r>
        <w:rPr>
          <w:sz w:val="22"/>
          <w:szCs w:val="22"/>
        </w:rPr>
        <w:t xml:space="preserve">Medikamentenlagerung erfolgt: </w:t>
      </w:r>
    </w:p>
    <w:p w14:paraId="65A8B274" w14:textId="77777777" w:rsidR="00A34432" w:rsidRDefault="00A34432" w:rsidP="00A34432">
      <w:pPr>
        <w:jc w:val="both"/>
        <w:rPr>
          <w:sz w:val="22"/>
          <w:szCs w:val="22"/>
        </w:rPr>
      </w:pPr>
    </w:p>
    <w:p w14:paraId="13D30334" w14:textId="77777777" w:rsidR="00A34432" w:rsidRDefault="00A34432">
      <w:pPr>
        <w:pStyle w:val="Listenabsatz"/>
        <w:numPr>
          <w:ilvl w:val="0"/>
          <w:numId w:val="1"/>
        </w:numPr>
        <w:jc w:val="both"/>
        <w:rPr>
          <w:sz w:val="22"/>
          <w:szCs w:val="22"/>
        </w:rPr>
      </w:pPr>
      <w:r w:rsidRPr="00CE0D16">
        <w:rPr>
          <w:sz w:val="22"/>
          <w:szCs w:val="22"/>
        </w:rPr>
        <w:t>trocken, staub- und licht</w:t>
      </w:r>
      <w:r>
        <w:rPr>
          <w:sz w:val="22"/>
          <w:szCs w:val="22"/>
        </w:rPr>
        <w:t xml:space="preserve">geschützt und nicht über 25°C </w:t>
      </w:r>
    </w:p>
    <w:p w14:paraId="212EAD6C" w14:textId="77777777" w:rsidR="00A34432" w:rsidRDefault="00A34432">
      <w:pPr>
        <w:pStyle w:val="Listenabsatz"/>
        <w:numPr>
          <w:ilvl w:val="0"/>
          <w:numId w:val="1"/>
        </w:numPr>
        <w:jc w:val="both"/>
        <w:rPr>
          <w:sz w:val="22"/>
          <w:szCs w:val="22"/>
        </w:rPr>
      </w:pPr>
      <w:r w:rsidRPr="00CE0D16">
        <w:rPr>
          <w:sz w:val="22"/>
          <w:szCs w:val="22"/>
        </w:rPr>
        <w:t>bei kühlkettenpflichtigen Arzneimitteln im Arzneimitt</w:t>
      </w:r>
      <w:r>
        <w:rPr>
          <w:sz w:val="22"/>
          <w:szCs w:val="22"/>
        </w:rPr>
        <w:t xml:space="preserve">elkühlschrank bei +2°C - +8°C </w:t>
      </w:r>
    </w:p>
    <w:p w14:paraId="16BFBF4F" w14:textId="77777777" w:rsidR="00A34432" w:rsidRDefault="00A34432">
      <w:pPr>
        <w:pStyle w:val="Listenabsatz"/>
        <w:numPr>
          <w:ilvl w:val="0"/>
          <w:numId w:val="1"/>
        </w:numPr>
        <w:jc w:val="both"/>
        <w:rPr>
          <w:sz w:val="22"/>
          <w:szCs w:val="22"/>
        </w:rPr>
      </w:pPr>
      <w:r w:rsidRPr="00CE0D16">
        <w:rPr>
          <w:sz w:val="22"/>
          <w:szCs w:val="22"/>
        </w:rPr>
        <w:t>unzugängli</w:t>
      </w:r>
      <w:r>
        <w:rPr>
          <w:sz w:val="22"/>
          <w:szCs w:val="22"/>
        </w:rPr>
        <w:t>ch für nicht befugte Personen (Verschluss)</w:t>
      </w:r>
    </w:p>
    <w:p w14:paraId="551B0095" w14:textId="77777777" w:rsidR="00A34432" w:rsidRDefault="00A34432">
      <w:pPr>
        <w:pStyle w:val="Listenabsatz"/>
        <w:numPr>
          <w:ilvl w:val="0"/>
          <w:numId w:val="1"/>
        </w:numPr>
        <w:jc w:val="both"/>
        <w:rPr>
          <w:sz w:val="22"/>
          <w:szCs w:val="22"/>
        </w:rPr>
      </w:pPr>
      <w:r w:rsidRPr="00CE0D16">
        <w:rPr>
          <w:sz w:val="22"/>
          <w:szCs w:val="22"/>
        </w:rPr>
        <w:t>unter Beachtung der Anbruch-/Verfa</w:t>
      </w:r>
      <w:r>
        <w:rPr>
          <w:sz w:val="22"/>
          <w:szCs w:val="22"/>
        </w:rPr>
        <w:t xml:space="preserve">llsdaten und ggf. der Uhrzeit </w:t>
      </w:r>
    </w:p>
    <w:p w14:paraId="07F22787" w14:textId="77777777" w:rsidR="00A34432" w:rsidRPr="00CE0D16" w:rsidRDefault="00A34432">
      <w:pPr>
        <w:pStyle w:val="Listenabsatz"/>
        <w:numPr>
          <w:ilvl w:val="0"/>
          <w:numId w:val="1"/>
        </w:numPr>
        <w:jc w:val="both"/>
        <w:rPr>
          <w:sz w:val="22"/>
          <w:szCs w:val="22"/>
        </w:rPr>
      </w:pPr>
      <w:r w:rsidRPr="00CE0D16">
        <w:rPr>
          <w:sz w:val="22"/>
          <w:szCs w:val="22"/>
        </w:rPr>
        <w:t xml:space="preserve">getrennt von Lebensmitteln </w:t>
      </w:r>
    </w:p>
    <w:p w14:paraId="6FE31FE3" w14:textId="77777777" w:rsidR="00A34432" w:rsidRPr="00CE0D16" w:rsidRDefault="00A34432" w:rsidP="00A34432">
      <w:pPr>
        <w:jc w:val="both"/>
        <w:rPr>
          <w:sz w:val="22"/>
          <w:szCs w:val="22"/>
        </w:rPr>
      </w:pPr>
      <w:r w:rsidRPr="00CE0D16">
        <w:rPr>
          <w:sz w:val="22"/>
          <w:szCs w:val="22"/>
        </w:rPr>
        <w:t xml:space="preserve"> </w:t>
      </w:r>
    </w:p>
    <w:p w14:paraId="774B29FE" w14:textId="77777777" w:rsidR="00A34432" w:rsidRPr="00CE0D16" w:rsidRDefault="00A34432" w:rsidP="00A34432">
      <w:pPr>
        <w:jc w:val="both"/>
        <w:rPr>
          <w:sz w:val="22"/>
          <w:szCs w:val="22"/>
        </w:rPr>
      </w:pPr>
      <w:r w:rsidRPr="00CE0D16">
        <w:rPr>
          <w:sz w:val="22"/>
          <w:szCs w:val="22"/>
        </w:rPr>
        <w:t xml:space="preserve">Um Verwechslungen und Verschmutzungen zu vermeiden, werden Arzneimittel nie in andere Gefäße umgefüllt. Die Verpackung des Arzneimittels bleibt stets im Originalzustand (mit Verfallsdatum und Chargennummer) und die Packungsbeilage wird aus der Originalverpackung nicht entfernt. </w:t>
      </w:r>
    </w:p>
    <w:p w14:paraId="1996F015" w14:textId="77777777" w:rsidR="00A34432" w:rsidRPr="00CE0D16" w:rsidRDefault="00A34432" w:rsidP="00A34432">
      <w:pPr>
        <w:jc w:val="both"/>
        <w:rPr>
          <w:sz w:val="22"/>
          <w:szCs w:val="22"/>
        </w:rPr>
      </w:pPr>
      <w:r w:rsidRPr="00CE0D16">
        <w:rPr>
          <w:sz w:val="22"/>
          <w:szCs w:val="22"/>
        </w:rPr>
        <w:t xml:space="preserve"> </w:t>
      </w:r>
    </w:p>
    <w:p w14:paraId="4E852461" w14:textId="77777777" w:rsidR="00A34432" w:rsidRPr="00CE0D16" w:rsidRDefault="00A34432" w:rsidP="00A34432">
      <w:pPr>
        <w:jc w:val="both"/>
        <w:rPr>
          <w:sz w:val="22"/>
          <w:szCs w:val="22"/>
        </w:rPr>
      </w:pPr>
      <w:r w:rsidRPr="00CE0D16">
        <w:rPr>
          <w:sz w:val="22"/>
          <w:szCs w:val="22"/>
        </w:rPr>
        <w:t xml:space="preserve">In Abhängigkeit von der Verabreichungsform wird auf Folgendes geachtet: </w:t>
      </w:r>
    </w:p>
    <w:p w14:paraId="64D17367" w14:textId="77777777" w:rsidR="00A34432" w:rsidRPr="00CE0D16" w:rsidRDefault="00A34432" w:rsidP="00A34432">
      <w:pPr>
        <w:jc w:val="both"/>
        <w:rPr>
          <w:sz w:val="22"/>
          <w:szCs w:val="22"/>
        </w:rPr>
      </w:pPr>
      <w:r w:rsidRPr="00CE0D16">
        <w:rPr>
          <w:sz w:val="22"/>
          <w:szCs w:val="22"/>
        </w:rPr>
        <w:t xml:space="preserve"> </w:t>
      </w:r>
    </w:p>
    <w:p w14:paraId="52453246" w14:textId="77777777" w:rsidR="00A34432" w:rsidRDefault="00A34432" w:rsidP="00A34432">
      <w:pPr>
        <w:jc w:val="both"/>
        <w:rPr>
          <w:sz w:val="22"/>
          <w:szCs w:val="22"/>
        </w:rPr>
      </w:pPr>
      <w:r w:rsidRPr="00CE0D16">
        <w:rPr>
          <w:sz w:val="22"/>
          <w:szCs w:val="22"/>
        </w:rPr>
        <w:t>Tropfenflaschen/Pipet</w:t>
      </w:r>
      <w:r>
        <w:rPr>
          <w:sz w:val="22"/>
          <w:szCs w:val="22"/>
        </w:rPr>
        <w:t xml:space="preserve">ten </w:t>
      </w:r>
    </w:p>
    <w:p w14:paraId="43A68AEF" w14:textId="77777777" w:rsidR="00A34432" w:rsidRDefault="00A34432" w:rsidP="00A34432">
      <w:pPr>
        <w:jc w:val="both"/>
        <w:rPr>
          <w:sz w:val="22"/>
          <w:szCs w:val="22"/>
        </w:rPr>
      </w:pPr>
    </w:p>
    <w:p w14:paraId="672CD50E" w14:textId="77777777" w:rsidR="00A34432" w:rsidRDefault="00A34432">
      <w:pPr>
        <w:pStyle w:val="Listenabsatz"/>
        <w:numPr>
          <w:ilvl w:val="0"/>
          <w:numId w:val="2"/>
        </w:numPr>
        <w:jc w:val="both"/>
        <w:rPr>
          <w:sz w:val="22"/>
          <w:szCs w:val="22"/>
        </w:rPr>
      </w:pPr>
      <w:r w:rsidRPr="00CE0D16">
        <w:rPr>
          <w:sz w:val="22"/>
          <w:szCs w:val="22"/>
        </w:rPr>
        <w:t xml:space="preserve">Nach dem Öffnen mit </w:t>
      </w:r>
      <w:proofErr w:type="spellStart"/>
      <w:r w:rsidRPr="00CE0D16">
        <w:rPr>
          <w:sz w:val="22"/>
          <w:szCs w:val="22"/>
        </w:rPr>
        <w:t>Anbruchdatum</w:t>
      </w:r>
      <w:proofErr w:type="spellEnd"/>
      <w:r w:rsidRPr="00CE0D16">
        <w:rPr>
          <w:sz w:val="22"/>
          <w:szCs w:val="22"/>
        </w:rPr>
        <w:t xml:space="preserve"> verse</w:t>
      </w:r>
      <w:r>
        <w:rPr>
          <w:sz w:val="22"/>
          <w:szCs w:val="22"/>
        </w:rPr>
        <w:t xml:space="preserve">hen und Haltbarkeit beachten. </w:t>
      </w:r>
    </w:p>
    <w:p w14:paraId="3DF658F2" w14:textId="77777777" w:rsidR="00A34432" w:rsidRPr="00CE0D16" w:rsidRDefault="00A34432">
      <w:pPr>
        <w:pStyle w:val="Listenabsatz"/>
        <w:numPr>
          <w:ilvl w:val="0"/>
          <w:numId w:val="2"/>
        </w:numPr>
        <w:jc w:val="both"/>
        <w:rPr>
          <w:sz w:val="22"/>
          <w:szCs w:val="22"/>
        </w:rPr>
      </w:pPr>
      <w:r w:rsidRPr="00CE0D16">
        <w:rPr>
          <w:sz w:val="22"/>
          <w:szCs w:val="22"/>
        </w:rPr>
        <w:t xml:space="preserve">Bei Applikation Patientenkontakt mit der Öffnung vermeiden. </w:t>
      </w:r>
    </w:p>
    <w:p w14:paraId="2EBF141B" w14:textId="77777777" w:rsidR="00A34432" w:rsidRPr="00CE0D16" w:rsidRDefault="00A34432" w:rsidP="00A34432">
      <w:pPr>
        <w:jc w:val="both"/>
        <w:rPr>
          <w:sz w:val="22"/>
          <w:szCs w:val="22"/>
        </w:rPr>
      </w:pPr>
      <w:r>
        <w:rPr>
          <w:sz w:val="22"/>
          <w:szCs w:val="22"/>
        </w:rPr>
        <w:t xml:space="preserve"> </w:t>
      </w:r>
    </w:p>
    <w:p w14:paraId="737321A1" w14:textId="77777777" w:rsidR="00A34432" w:rsidRDefault="00A34432" w:rsidP="00A34432">
      <w:pPr>
        <w:jc w:val="both"/>
        <w:rPr>
          <w:sz w:val="22"/>
          <w:szCs w:val="22"/>
        </w:rPr>
      </w:pPr>
      <w:r>
        <w:rPr>
          <w:sz w:val="22"/>
          <w:szCs w:val="22"/>
        </w:rPr>
        <w:t xml:space="preserve">Salben </w:t>
      </w:r>
    </w:p>
    <w:p w14:paraId="22DE04D1" w14:textId="77777777" w:rsidR="00A34432" w:rsidRDefault="00A34432" w:rsidP="00A34432">
      <w:pPr>
        <w:jc w:val="both"/>
        <w:rPr>
          <w:sz w:val="22"/>
          <w:szCs w:val="22"/>
        </w:rPr>
      </w:pPr>
    </w:p>
    <w:p w14:paraId="3A6B8BFC" w14:textId="77777777" w:rsidR="00A34432" w:rsidRDefault="00A34432">
      <w:pPr>
        <w:pStyle w:val="Listenabsatz"/>
        <w:numPr>
          <w:ilvl w:val="0"/>
          <w:numId w:val="3"/>
        </w:numPr>
        <w:jc w:val="both"/>
        <w:rPr>
          <w:sz w:val="22"/>
          <w:szCs w:val="22"/>
        </w:rPr>
      </w:pPr>
      <w:r w:rsidRPr="00CE0D16">
        <w:rPr>
          <w:sz w:val="22"/>
          <w:szCs w:val="22"/>
        </w:rPr>
        <w:t>Nach Anbruch von Tuben oder S</w:t>
      </w:r>
      <w:r>
        <w:rPr>
          <w:sz w:val="22"/>
          <w:szCs w:val="22"/>
        </w:rPr>
        <w:t xml:space="preserve">pendern Haltbarkeit beachten. </w:t>
      </w:r>
    </w:p>
    <w:p w14:paraId="4AE61604" w14:textId="77777777" w:rsidR="00A34432" w:rsidRDefault="00A34432">
      <w:pPr>
        <w:pStyle w:val="Listenabsatz"/>
        <w:numPr>
          <w:ilvl w:val="0"/>
          <w:numId w:val="3"/>
        </w:numPr>
        <w:jc w:val="both"/>
        <w:rPr>
          <w:sz w:val="22"/>
          <w:szCs w:val="22"/>
        </w:rPr>
      </w:pPr>
      <w:r w:rsidRPr="00CE0D16">
        <w:rPr>
          <w:sz w:val="22"/>
          <w:szCs w:val="22"/>
        </w:rPr>
        <w:t>Salben ggf. mit Hilfe eines Einmalspatels ent</w:t>
      </w:r>
      <w:r>
        <w:rPr>
          <w:sz w:val="22"/>
          <w:szCs w:val="22"/>
        </w:rPr>
        <w:t xml:space="preserve">nehmen. </w:t>
      </w:r>
    </w:p>
    <w:p w14:paraId="77E77EA0" w14:textId="77777777" w:rsidR="00A34432" w:rsidRPr="00CE0D16" w:rsidRDefault="00A34432">
      <w:pPr>
        <w:pStyle w:val="Listenabsatz"/>
        <w:numPr>
          <w:ilvl w:val="0"/>
          <w:numId w:val="3"/>
        </w:numPr>
        <w:jc w:val="both"/>
        <w:rPr>
          <w:sz w:val="22"/>
          <w:szCs w:val="22"/>
        </w:rPr>
      </w:pPr>
      <w:r w:rsidRPr="00CE0D16">
        <w:rPr>
          <w:sz w:val="22"/>
          <w:szCs w:val="22"/>
        </w:rPr>
        <w:t xml:space="preserve">Bei Bedarf ersten Salbenabschnitt verwerfen. </w:t>
      </w:r>
    </w:p>
    <w:p w14:paraId="06F1C4E7" w14:textId="77777777" w:rsidR="00A34432" w:rsidRPr="00CE0D16" w:rsidRDefault="00A34432" w:rsidP="00A34432">
      <w:pPr>
        <w:jc w:val="both"/>
        <w:rPr>
          <w:sz w:val="22"/>
          <w:szCs w:val="22"/>
        </w:rPr>
      </w:pPr>
      <w:r>
        <w:rPr>
          <w:sz w:val="22"/>
          <w:szCs w:val="22"/>
        </w:rPr>
        <w:t xml:space="preserve"> </w:t>
      </w:r>
    </w:p>
    <w:p w14:paraId="041B804D" w14:textId="77777777" w:rsidR="00A34432" w:rsidRDefault="00A34432" w:rsidP="00A34432">
      <w:pPr>
        <w:jc w:val="both"/>
        <w:rPr>
          <w:sz w:val="22"/>
          <w:szCs w:val="22"/>
        </w:rPr>
      </w:pPr>
      <w:r w:rsidRPr="00CE0D16">
        <w:rPr>
          <w:sz w:val="22"/>
          <w:szCs w:val="22"/>
        </w:rPr>
        <w:t xml:space="preserve">Injektionen und </w:t>
      </w:r>
      <w:r>
        <w:rPr>
          <w:sz w:val="22"/>
          <w:szCs w:val="22"/>
        </w:rPr>
        <w:t>Infusionen (</w:t>
      </w:r>
      <w:proofErr w:type="spellStart"/>
      <w:r>
        <w:rPr>
          <w:sz w:val="22"/>
          <w:szCs w:val="22"/>
        </w:rPr>
        <w:t>i.v.</w:t>
      </w:r>
      <w:proofErr w:type="spellEnd"/>
      <w:r>
        <w:rPr>
          <w:sz w:val="22"/>
          <w:szCs w:val="22"/>
        </w:rPr>
        <w:t xml:space="preserve">, </w:t>
      </w:r>
      <w:proofErr w:type="spellStart"/>
      <w:r>
        <w:rPr>
          <w:sz w:val="22"/>
          <w:szCs w:val="22"/>
        </w:rPr>
        <w:t>i.m</w:t>
      </w:r>
      <w:proofErr w:type="spellEnd"/>
      <w:r>
        <w:rPr>
          <w:sz w:val="22"/>
          <w:szCs w:val="22"/>
        </w:rPr>
        <w:t xml:space="preserve">., </w:t>
      </w:r>
      <w:proofErr w:type="spellStart"/>
      <w:r>
        <w:rPr>
          <w:sz w:val="22"/>
          <w:szCs w:val="22"/>
        </w:rPr>
        <w:t>s.c</w:t>
      </w:r>
      <w:proofErr w:type="spellEnd"/>
      <w:r>
        <w:rPr>
          <w:sz w:val="22"/>
          <w:szCs w:val="22"/>
        </w:rPr>
        <w:t xml:space="preserve">.) </w:t>
      </w:r>
    </w:p>
    <w:p w14:paraId="2E15CE29" w14:textId="77777777" w:rsidR="00A34432" w:rsidRDefault="00A34432" w:rsidP="00A34432">
      <w:pPr>
        <w:jc w:val="both"/>
        <w:rPr>
          <w:sz w:val="22"/>
          <w:szCs w:val="22"/>
        </w:rPr>
      </w:pPr>
    </w:p>
    <w:p w14:paraId="1592B99D" w14:textId="77777777" w:rsidR="00A34432" w:rsidRDefault="00A34432">
      <w:pPr>
        <w:pStyle w:val="Listenabsatz"/>
        <w:numPr>
          <w:ilvl w:val="0"/>
          <w:numId w:val="4"/>
        </w:numPr>
        <w:jc w:val="both"/>
        <w:rPr>
          <w:sz w:val="22"/>
          <w:szCs w:val="22"/>
        </w:rPr>
      </w:pPr>
      <w:r w:rsidRPr="00CE0D16">
        <w:rPr>
          <w:sz w:val="22"/>
          <w:szCs w:val="22"/>
        </w:rPr>
        <w:t>Spritzen und Infusionen unmittelbar vor Anwendu</w:t>
      </w:r>
      <w:r>
        <w:rPr>
          <w:sz w:val="22"/>
          <w:szCs w:val="22"/>
        </w:rPr>
        <w:t>ng aufziehen bzw. vorbereiten.</w:t>
      </w:r>
    </w:p>
    <w:p w14:paraId="38E770C9" w14:textId="77777777" w:rsidR="00A34432" w:rsidRDefault="00A34432">
      <w:pPr>
        <w:pStyle w:val="Listenabsatz"/>
        <w:numPr>
          <w:ilvl w:val="0"/>
          <w:numId w:val="4"/>
        </w:numPr>
        <w:jc w:val="both"/>
        <w:rPr>
          <w:sz w:val="22"/>
          <w:szCs w:val="22"/>
        </w:rPr>
      </w:pPr>
      <w:r>
        <w:rPr>
          <w:sz w:val="22"/>
          <w:szCs w:val="22"/>
        </w:rPr>
        <w:t>Haltbarkeit beachten</w:t>
      </w:r>
    </w:p>
    <w:p w14:paraId="21DEA411" w14:textId="77777777" w:rsidR="00A34432" w:rsidRDefault="00A34432">
      <w:pPr>
        <w:pStyle w:val="Listenabsatz"/>
        <w:numPr>
          <w:ilvl w:val="0"/>
          <w:numId w:val="4"/>
        </w:numPr>
        <w:jc w:val="both"/>
        <w:rPr>
          <w:sz w:val="22"/>
          <w:szCs w:val="22"/>
        </w:rPr>
      </w:pPr>
      <w:r w:rsidRPr="00CE0D16">
        <w:rPr>
          <w:sz w:val="22"/>
          <w:szCs w:val="22"/>
        </w:rPr>
        <w:t xml:space="preserve">Bei jedem Anstechen das </w:t>
      </w:r>
      <w:proofErr w:type="spellStart"/>
      <w:r w:rsidRPr="00CE0D16">
        <w:rPr>
          <w:sz w:val="22"/>
          <w:szCs w:val="22"/>
        </w:rPr>
        <w:t>Gummiseptum</w:t>
      </w:r>
      <w:proofErr w:type="spellEnd"/>
      <w:r w:rsidRPr="00CE0D16">
        <w:rPr>
          <w:sz w:val="22"/>
          <w:szCs w:val="22"/>
        </w:rPr>
        <w:t xml:space="preserve"> desinfizieren und frische Materi</w:t>
      </w:r>
      <w:r>
        <w:rPr>
          <w:sz w:val="22"/>
          <w:szCs w:val="22"/>
        </w:rPr>
        <w:t xml:space="preserve">alien verwenden. </w:t>
      </w:r>
    </w:p>
    <w:p w14:paraId="7548D9DE" w14:textId="77777777" w:rsidR="00A34432" w:rsidRPr="00CE0D16" w:rsidRDefault="00A34432">
      <w:pPr>
        <w:pStyle w:val="Listenabsatz"/>
        <w:numPr>
          <w:ilvl w:val="0"/>
          <w:numId w:val="4"/>
        </w:numPr>
        <w:jc w:val="both"/>
        <w:rPr>
          <w:sz w:val="22"/>
          <w:szCs w:val="22"/>
        </w:rPr>
      </w:pPr>
      <w:r w:rsidRPr="00CE0D16">
        <w:rPr>
          <w:sz w:val="22"/>
          <w:szCs w:val="22"/>
        </w:rPr>
        <w:t xml:space="preserve">Angebrochene Mehrdosenbehältnisse mit </w:t>
      </w:r>
      <w:proofErr w:type="spellStart"/>
      <w:r w:rsidRPr="00CE0D16">
        <w:rPr>
          <w:sz w:val="22"/>
          <w:szCs w:val="22"/>
        </w:rPr>
        <w:t>Anbruchdatum</w:t>
      </w:r>
      <w:proofErr w:type="spellEnd"/>
      <w:r w:rsidRPr="00CE0D16">
        <w:rPr>
          <w:sz w:val="22"/>
          <w:szCs w:val="22"/>
        </w:rPr>
        <w:t xml:space="preserve"> und Verwendungsdauer versehen; restliche Lösungen aus </w:t>
      </w:r>
      <w:proofErr w:type="spellStart"/>
      <w:r w:rsidRPr="00CE0D16">
        <w:rPr>
          <w:sz w:val="22"/>
          <w:szCs w:val="22"/>
        </w:rPr>
        <w:t>Eindosisbehältnissen</w:t>
      </w:r>
      <w:proofErr w:type="spellEnd"/>
      <w:r w:rsidRPr="00CE0D16">
        <w:rPr>
          <w:sz w:val="22"/>
          <w:szCs w:val="22"/>
        </w:rPr>
        <w:t xml:space="preserve"> nach Aufziehen entsorgen. </w:t>
      </w:r>
    </w:p>
    <w:p w14:paraId="06DB149C" w14:textId="77777777" w:rsidR="00A34432" w:rsidRPr="009B48A0" w:rsidRDefault="00A34432" w:rsidP="00A34432">
      <w:pPr>
        <w:jc w:val="both"/>
        <w:rPr>
          <w:sz w:val="22"/>
          <w:szCs w:val="22"/>
        </w:rPr>
      </w:pPr>
    </w:p>
    <w:sectPr w:rsidR="00A34432" w:rsidRPr="009B48A0" w:rsidSect="002E168E">
      <w:pgSz w:w="11906" w:h="16838" w:code="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D86DA" w14:textId="77777777" w:rsidR="00672EFD" w:rsidRDefault="00672EFD" w:rsidP="006E77A1">
      <w:r>
        <w:separator/>
      </w:r>
    </w:p>
  </w:endnote>
  <w:endnote w:type="continuationSeparator" w:id="0">
    <w:p w14:paraId="270DADCE" w14:textId="77777777" w:rsidR="00672EFD" w:rsidRDefault="00672EFD" w:rsidP="006E7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roid Sans Fallback">
    <w:altName w:val="Times New Roman"/>
    <w:charset w:val="00"/>
    <w:family w:val="auto"/>
    <w:pitch w:val="variable"/>
  </w:font>
  <w:font w:name="Lohit Hindi">
    <w:altName w:val="Times New Roman"/>
    <w:charset w:val="00"/>
    <w:family w:val="auto"/>
    <w:pitch w:val="default"/>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AFE60" w14:textId="77777777" w:rsidR="00672EFD" w:rsidRDefault="00672EFD" w:rsidP="006E77A1">
      <w:r>
        <w:separator/>
      </w:r>
    </w:p>
  </w:footnote>
  <w:footnote w:type="continuationSeparator" w:id="0">
    <w:p w14:paraId="164CF489" w14:textId="77777777" w:rsidR="00672EFD" w:rsidRDefault="00672EFD" w:rsidP="006E77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E3C3E"/>
    <w:multiLevelType w:val="hybridMultilevel"/>
    <w:tmpl w:val="BDBECE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E2C368F"/>
    <w:multiLevelType w:val="hybridMultilevel"/>
    <w:tmpl w:val="AC909B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5B3767F"/>
    <w:multiLevelType w:val="hybridMultilevel"/>
    <w:tmpl w:val="68283A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1F66FE2"/>
    <w:multiLevelType w:val="hybridMultilevel"/>
    <w:tmpl w:val="27E6EE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6481215">
    <w:abstractNumId w:val="2"/>
  </w:num>
  <w:num w:numId="2" w16cid:durableId="744109146">
    <w:abstractNumId w:val="3"/>
  </w:num>
  <w:num w:numId="3" w16cid:durableId="558126067">
    <w:abstractNumId w:val="0"/>
  </w:num>
  <w:num w:numId="4" w16cid:durableId="1257909916">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BD4"/>
    <w:rsid w:val="0001492A"/>
    <w:rsid w:val="00061D0F"/>
    <w:rsid w:val="00094CEF"/>
    <w:rsid w:val="000A4DF4"/>
    <w:rsid w:val="00165027"/>
    <w:rsid w:val="00242BBB"/>
    <w:rsid w:val="002C2A5B"/>
    <w:rsid w:val="002D17C0"/>
    <w:rsid w:val="002E168E"/>
    <w:rsid w:val="00365897"/>
    <w:rsid w:val="003723AB"/>
    <w:rsid w:val="00397CEA"/>
    <w:rsid w:val="003A5A6F"/>
    <w:rsid w:val="003C228E"/>
    <w:rsid w:val="003C49EB"/>
    <w:rsid w:val="00422A5F"/>
    <w:rsid w:val="004303C0"/>
    <w:rsid w:val="00490E45"/>
    <w:rsid w:val="004D49FE"/>
    <w:rsid w:val="004E3C72"/>
    <w:rsid w:val="00553BD4"/>
    <w:rsid w:val="0057587E"/>
    <w:rsid w:val="005955D5"/>
    <w:rsid w:val="005A6C08"/>
    <w:rsid w:val="005C3AF0"/>
    <w:rsid w:val="005F207E"/>
    <w:rsid w:val="00623641"/>
    <w:rsid w:val="006721C3"/>
    <w:rsid w:val="00672EFD"/>
    <w:rsid w:val="006C6F02"/>
    <w:rsid w:val="006E77A1"/>
    <w:rsid w:val="00727B47"/>
    <w:rsid w:val="00755F24"/>
    <w:rsid w:val="007D7FC9"/>
    <w:rsid w:val="008323FD"/>
    <w:rsid w:val="008540C2"/>
    <w:rsid w:val="00866A45"/>
    <w:rsid w:val="008818FD"/>
    <w:rsid w:val="008D7D78"/>
    <w:rsid w:val="00997732"/>
    <w:rsid w:val="009F7209"/>
    <w:rsid w:val="00A0200E"/>
    <w:rsid w:val="00A34432"/>
    <w:rsid w:val="00AD2E45"/>
    <w:rsid w:val="00AF341B"/>
    <w:rsid w:val="00B15CFE"/>
    <w:rsid w:val="00B3451A"/>
    <w:rsid w:val="00B4544B"/>
    <w:rsid w:val="00BA54F4"/>
    <w:rsid w:val="00C353B4"/>
    <w:rsid w:val="00C56F55"/>
    <w:rsid w:val="00C604D7"/>
    <w:rsid w:val="00CB74F4"/>
    <w:rsid w:val="00CD08E6"/>
    <w:rsid w:val="00D25449"/>
    <w:rsid w:val="00D77238"/>
    <w:rsid w:val="00D8258E"/>
    <w:rsid w:val="00DC0C50"/>
    <w:rsid w:val="00DD048D"/>
    <w:rsid w:val="00DD7F5A"/>
    <w:rsid w:val="00DF064A"/>
    <w:rsid w:val="00DF210A"/>
    <w:rsid w:val="00E40FAD"/>
    <w:rsid w:val="00E74A6A"/>
    <w:rsid w:val="00EA30DF"/>
    <w:rsid w:val="00EF2C8A"/>
    <w:rsid w:val="00F01F8E"/>
    <w:rsid w:val="00FF0EA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39493"/>
  <w15:chartTrackingRefBased/>
  <w15:docId w15:val="{91A7EB1F-B0E8-47E7-BEA4-86014BE6D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553BD4"/>
    <w:pPr>
      <w:widowControl w:val="0"/>
      <w:suppressAutoHyphens/>
      <w:autoSpaceDN w:val="0"/>
      <w:spacing w:after="0" w:line="240" w:lineRule="auto"/>
      <w:textAlignment w:val="baseline"/>
    </w:pPr>
    <w:rPr>
      <w:rFonts w:ascii="Arial" w:eastAsia="Droid Sans Fallback" w:hAnsi="Arial" w:cs="Lohit Hindi"/>
      <w:kern w:val="3"/>
      <w:sz w:val="24"/>
      <w:szCs w:val="24"/>
      <w:lang w:eastAsia="zh-CN"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ableContents">
    <w:name w:val="Table Contents"/>
    <w:basedOn w:val="Standard"/>
    <w:rsid w:val="00553BD4"/>
    <w:pPr>
      <w:suppressLineNumbers/>
      <w:autoSpaceDE w:val="0"/>
    </w:pPr>
    <w:rPr>
      <w:rFonts w:cs="Arial"/>
      <w:sz w:val="22"/>
      <w:lang w:eastAsia="en-US"/>
    </w:rPr>
  </w:style>
  <w:style w:type="table" w:styleId="Tabellenraster">
    <w:name w:val="Table Grid"/>
    <w:basedOn w:val="NormaleTabelle"/>
    <w:uiPriority w:val="39"/>
    <w:rsid w:val="00553BD4"/>
    <w:pPr>
      <w:widowControl w:val="0"/>
      <w:suppressAutoHyphens/>
      <w:autoSpaceDN w:val="0"/>
      <w:spacing w:after="0" w:line="240" w:lineRule="auto"/>
      <w:textAlignment w:val="baseline"/>
    </w:pPr>
    <w:rPr>
      <w:rFonts w:ascii="Arial" w:eastAsia="Droid Sans Fallback" w:hAnsi="Arial" w:cs="Lohit Hindi"/>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Standard"/>
    <w:rsid w:val="00DC0C50"/>
    <w:pPr>
      <w:spacing w:after="120"/>
    </w:pPr>
  </w:style>
  <w:style w:type="paragraph" w:styleId="Listenabsatz">
    <w:name w:val="List Paragraph"/>
    <w:basedOn w:val="Standard"/>
    <w:rsid w:val="00DC0C50"/>
    <w:pPr>
      <w:ind w:left="720"/>
    </w:pPr>
  </w:style>
  <w:style w:type="paragraph" w:styleId="Kopfzeile">
    <w:name w:val="header"/>
    <w:basedOn w:val="Standard"/>
    <w:link w:val="KopfzeileZchn"/>
    <w:uiPriority w:val="99"/>
    <w:unhideWhenUsed/>
    <w:rsid w:val="006E77A1"/>
    <w:pPr>
      <w:tabs>
        <w:tab w:val="center" w:pos="4536"/>
        <w:tab w:val="right" w:pos="9072"/>
      </w:tabs>
    </w:pPr>
    <w:rPr>
      <w:rFonts w:cs="Mangal"/>
      <w:szCs w:val="21"/>
    </w:rPr>
  </w:style>
  <w:style w:type="character" w:customStyle="1" w:styleId="KopfzeileZchn">
    <w:name w:val="Kopfzeile Zchn"/>
    <w:basedOn w:val="Absatz-Standardschriftart"/>
    <w:link w:val="Kopfzeile"/>
    <w:uiPriority w:val="99"/>
    <w:rsid w:val="006E77A1"/>
    <w:rPr>
      <w:rFonts w:ascii="Arial" w:eastAsia="Droid Sans Fallback" w:hAnsi="Arial" w:cs="Mangal"/>
      <w:kern w:val="3"/>
      <w:sz w:val="24"/>
      <w:szCs w:val="21"/>
      <w:lang w:eastAsia="zh-CN" w:bidi="hi-IN"/>
    </w:rPr>
  </w:style>
  <w:style w:type="paragraph" w:styleId="Fuzeile">
    <w:name w:val="footer"/>
    <w:basedOn w:val="Standard"/>
    <w:link w:val="FuzeileZchn"/>
    <w:uiPriority w:val="99"/>
    <w:unhideWhenUsed/>
    <w:rsid w:val="006E77A1"/>
    <w:pPr>
      <w:tabs>
        <w:tab w:val="center" w:pos="4536"/>
        <w:tab w:val="right" w:pos="9072"/>
      </w:tabs>
    </w:pPr>
    <w:rPr>
      <w:rFonts w:cs="Mangal"/>
      <w:szCs w:val="21"/>
    </w:rPr>
  </w:style>
  <w:style w:type="character" w:customStyle="1" w:styleId="FuzeileZchn">
    <w:name w:val="Fußzeile Zchn"/>
    <w:basedOn w:val="Absatz-Standardschriftart"/>
    <w:link w:val="Fuzeile"/>
    <w:uiPriority w:val="99"/>
    <w:rsid w:val="006E77A1"/>
    <w:rPr>
      <w:rFonts w:ascii="Arial" w:eastAsia="Droid Sans Fallback" w:hAnsi="Arial" w:cs="Mangal"/>
      <w:kern w:val="3"/>
      <w:sz w:val="24"/>
      <w:szCs w:val="21"/>
      <w:lang w:eastAsia="zh-CN" w:bidi="hi-IN"/>
    </w:rPr>
  </w:style>
  <w:style w:type="character" w:styleId="Hyperlink">
    <w:name w:val="Hyperlink"/>
    <w:basedOn w:val="Absatz-Standardschriftart"/>
    <w:uiPriority w:val="99"/>
    <w:unhideWhenUsed/>
    <w:rsid w:val="006E77A1"/>
    <w:rPr>
      <w:color w:val="0563C1" w:themeColor="hyperlink"/>
      <w:u w:val="single"/>
    </w:rPr>
  </w:style>
  <w:style w:type="character" w:styleId="NichtaufgelsteErwhnung">
    <w:name w:val="Unresolved Mention"/>
    <w:basedOn w:val="Absatz-Standardschriftart"/>
    <w:uiPriority w:val="99"/>
    <w:semiHidden/>
    <w:unhideWhenUsed/>
    <w:rsid w:val="006E77A1"/>
    <w:rPr>
      <w:color w:val="605E5C"/>
      <w:shd w:val="clear" w:color="auto" w:fill="E1DFDD"/>
    </w:rPr>
  </w:style>
  <w:style w:type="table" w:customStyle="1" w:styleId="Tabellenraster1">
    <w:name w:val="Tabellenraster1"/>
    <w:basedOn w:val="NormaleTabelle"/>
    <w:next w:val="Tabellenraster"/>
    <w:uiPriority w:val="39"/>
    <w:rsid w:val="00490E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267</Words>
  <Characters>1687</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Joachim Seitz</dc:creator>
  <cp:keywords/>
  <dc:description/>
  <cp:lastModifiedBy>Joachim Seitz</cp:lastModifiedBy>
  <cp:revision>4</cp:revision>
  <dcterms:created xsi:type="dcterms:W3CDTF">2022-09-14T12:32:00Z</dcterms:created>
  <dcterms:modified xsi:type="dcterms:W3CDTF">2022-09-14T12:35:00Z</dcterms:modified>
</cp:coreProperties>
</file>