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9" w:type="dxa"/>
        <w:tblLayout w:type="fixed"/>
        <w:tblCellMar>
          <w:left w:w="10" w:type="dxa"/>
          <w:right w:w="10" w:type="dxa"/>
        </w:tblCellMar>
        <w:tblLook w:val="0000" w:firstRow="0" w:lastRow="0" w:firstColumn="0" w:lastColumn="0" w:noHBand="0" w:noVBand="0"/>
      </w:tblPr>
      <w:tblGrid>
        <w:gridCol w:w="3174"/>
        <w:gridCol w:w="5329"/>
        <w:gridCol w:w="566"/>
      </w:tblGrid>
      <w:tr w:rsidR="00203A6E" w:rsidRPr="009B48A0" w14:paraId="1F7334CB" w14:textId="77777777" w:rsidTr="00203A6E">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1FE7BA8" w14:textId="77777777" w:rsidR="00203A6E" w:rsidRPr="009B48A0" w:rsidRDefault="00203A6E" w:rsidP="00F4700C">
            <w:pPr>
              <w:suppressLineNumbers/>
              <w:autoSpaceDE w:val="0"/>
              <w:jc w:val="center"/>
              <w:rPr>
                <w:rFonts w:cs="Arial"/>
                <w:sz w:val="22"/>
                <w:szCs w:val="22"/>
                <w:lang w:eastAsia="en-US"/>
              </w:rPr>
            </w:pPr>
            <w:r w:rsidRPr="009B48A0">
              <w:rPr>
                <w:rFonts w:cs="Arial"/>
                <w:b/>
                <w:color w:val="C00000"/>
                <w:sz w:val="22"/>
                <w:szCs w:val="22"/>
                <w:lang w:eastAsia="en-US"/>
              </w:rPr>
              <w:t>IMS</w:t>
            </w:r>
            <w:r w:rsidRPr="009B48A0">
              <w:rPr>
                <w:rFonts w:cs="Arial"/>
                <w:b/>
                <w:sz w:val="22"/>
                <w:szCs w:val="22"/>
                <w:lang w:eastAsia="en-US"/>
              </w:rPr>
              <w:t xml:space="preserve"> Services Vorlage</w:t>
            </w:r>
          </w:p>
        </w:tc>
        <w:tc>
          <w:tcPr>
            <w:tcW w:w="5895"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ADAB160" w14:textId="77777777" w:rsidR="00203A6E" w:rsidRPr="009B48A0" w:rsidRDefault="00203A6E" w:rsidP="00F4700C">
            <w:pPr>
              <w:suppressLineNumbers/>
              <w:autoSpaceDE w:val="0"/>
              <w:jc w:val="right"/>
              <w:rPr>
                <w:rFonts w:cs="Arial"/>
                <w:b/>
                <w:sz w:val="22"/>
                <w:szCs w:val="22"/>
                <w:shd w:val="clear" w:color="auto" w:fill="FFFFFF" w:themeFill="background1"/>
                <w:lang w:eastAsia="en-US"/>
              </w:rPr>
            </w:pPr>
            <w:r w:rsidRPr="009B48A0">
              <w:rPr>
                <w:rFonts w:cs="Arial"/>
                <w:b/>
                <w:sz w:val="22"/>
                <w:szCs w:val="22"/>
                <w:shd w:val="clear" w:color="auto" w:fill="FFFFFF" w:themeFill="background1"/>
                <w:lang w:eastAsia="en-US"/>
              </w:rPr>
              <w:t xml:space="preserve">Hygieneorganisation Arztpraxen </w:t>
            </w:r>
          </w:p>
          <w:p w14:paraId="22D38572" w14:textId="77777777" w:rsidR="00203A6E" w:rsidRPr="009B48A0" w:rsidRDefault="00203A6E" w:rsidP="00F4700C">
            <w:pPr>
              <w:suppressLineNumbers/>
              <w:autoSpaceDE w:val="0"/>
              <w:jc w:val="right"/>
              <w:rPr>
                <w:rFonts w:cs="Arial"/>
                <w:b/>
                <w:sz w:val="22"/>
                <w:szCs w:val="22"/>
                <w:shd w:val="clear" w:color="auto" w:fill="FFFFFF" w:themeFill="background1"/>
                <w:lang w:eastAsia="en-US"/>
              </w:rPr>
            </w:pPr>
          </w:p>
          <w:p w14:paraId="27B32A87" w14:textId="77777777" w:rsidR="00203A6E" w:rsidRPr="009B48A0" w:rsidRDefault="00203A6E" w:rsidP="00F4700C">
            <w:pPr>
              <w:suppressLineNumbers/>
              <w:autoSpaceDE w:val="0"/>
              <w:jc w:val="right"/>
              <w:rPr>
                <w:rFonts w:cs="Arial"/>
                <w:b/>
                <w:color w:val="FFFF00"/>
                <w:sz w:val="22"/>
                <w:szCs w:val="22"/>
                <w:shd w:val="clear" w:color="auto" w:fill="FF0000"/>
                <w:lang w:eastAsia="en-US"/>
              </w:rPr>
            </w:pPr>
            <w:r w:rsidRPr="009B48A0">
              <w:rPr>
                <w:rFonts w:cs="Arial"/>
                <w:b/>
                <w:sz w:val="22"/>
                <w:szCs w:val="22"/>
                <w:shd w:val="clear" w:color="auto" w:fill="FFFFFF" w:themeFill="background1"/>
                <w:lang w:eastAsia="en-US"/>
              </w:rPr>
              <w:t xml:space="preserve">Ordner 1 Register </w:t>
            </w:r>
            <w:r>
              <w:rPr>
                <w:rFonts w:cs="Arial"/>
                <w:b/>
                <w:sz w:val="22"/>
                <w:szCs w:val="22"/>
                <w:shd w:val="clear" w:color="auto" w:fill="FFFFFF" w:themeFill="background1"/>
                <w:lang w:eastAsia="en-US"/>
              </w:rPr>
              <w:t>26</w:t>
            </w:r>
          </w:p>
        </w:tc>
      </w:tr>
      <w:tr w:rsidR="00203A6E" w:rsidRPr="009B48A0" w14:paraId="6AD46263" w14:textId="77777777" w:rsidTr="00203A6E">
        <w:trPr>
          <w:trHeight w:val="348"/>
        </w:trPr>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1BD089E" w14:textId="77777777" w:rsidR="00203A6E" w:rsidRPr="009B48A0" w:rsidRDefault="00203A6E" w:rsidP="00F4700C"/>
        </w:tc>
        <w:tc>
          <w:tcPr>
            <w:tcW w:w="5329" w:type="dxa"/>
            <w:tcBorders>
              <w:left w:val="single" w:sz="2" w:space="0" w:color="000000"/>
              <w:bottom w:val="single" w:sz="2" w:space="0" w:color="000000"/>
            </w:tcBorders>
            <w:tcMar>
              <w:top w:w="55" w:type="dxa"/>
              <w:left w:w="55" w:type="dxa"/>
              <w:bottom w:w="55" w:type="dxa"/>
              <w:right w:w="55" w:type="dxa"/>
            </w:tcMar>
            <w:vAlign w:val="center"/>
          </w:tcPr>
          <w:p w14:paraId="6C006A11" w14:textId="77777777" w:rsidR="00203A6E" w:rsidRPr="009B48A0" w:rsidRDefault="00203A6E" w:rsidP="00F4700C">
            <w:pPr>
              <w:suppressLineNumbers/>
              <w:autoSpaceDE w:val="0"/>
              <w:jc w:val="center"/>
              <w:rPr>
                <w:rFonts w:cs="Arial"/>
                <w:sz w:val="22"/>
                <w:szCs w:val="22"/>
                <w:lang w:eastAsia="en-US"/>
              </w:rPr>
            </w:pPr>
            <w:r w:rsidRPr="009B48A0">
              <w:rPr>
                <w:rFonts w:cs="Arial"/>
                <w:sz w:val="22"/>
                <w:szCs w:val="22"/>
                <w:lang w:eastAsia="en-US"/>
              </w:rPr>
              <w:t>Hygieneorganisation</w:t>
            </w:r>
          </w:p>
        </w:tc>
        <w:tc>
          <w:tcPr>
            <w:tcW w:w="56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6F1F1C1" w14:textId="77777777" w:rsidR="00203A6E" w:rsidRPr="009B48A0" w:rsidRDefault="00203A6E" w:rsidP="00F4700C">
            <w:pPr>
              <w:suppressLineNumbers/>
              <w:autoSpaceDE w:val="0"/>
              <w:jc w:val="center"/>
              <w:rPr>
                <w:rFonts w:cs="Arial"/>
                <w:sz w:val="22"/>
                <w:szCs w:val="22"/>
                <w:lang w:eastAsia="en-US"/>
              </w:rPr>
            </w:pPr>
          </w:p>
        </w:tc>
      </w:tr>
      <w:tr w:rsidR="00203A6E" w:rsidRPr="009B48A0" w14:paraId="5C7D07ED" w14:textId="77777777" w:rsidTr="00203A6E">
        <w:trPr>
          <w:trHeight w:val="283"/>
        </w:trPr>
        <w:tc>
          <w:tcPr>
            <w:tcW w:w="9069" w:type="dxa"/>
            <w:gridSpan w:val="3"/>
            <w:tcBorders>
              <w:bottom w:val="single" w:sz="2" w:space="0" w:color="000000"/>
            </w:tcBorders>
            <w:tcMar>
              <w:top w:w="55" w:type="dxa"/>
              <w:left w:w="55" w:type="dxa"/>
              <w:bottom w:w="55" w:type="dxa"/>
              <w:right w:w="55" w:type="dxa"/>
            </w:tcMar>
          </w:tcPr>
          <w:p w14:paraId="70CF51AB" w14:textId="77777777" w:rsidR="00203A6E" w:rsidRPr="009B48A0" w:rsidRDefault="00203A6E" w:rsidP="00F4700C">
            <w:pPr>
              <w:suppressLineNumbers/>
              <w:autoSpaceDE w:val="0"/>
              <w:rPr>
                <w:rFonts w:cs="Arial"/>
                <w:sz w:val="16"/>
                <w:szCs w:val="16"/>
                <w:lang w:eastAsia="en-US"/>
              </w:rPr>
            </w:pPr>
          </w:p>
        </w:tc>
      </w:tr>
      <w:tr w:rsidR="00203A6E" w:rsidRPr="009B48A0" w14:paraId="52FC61C9" w14:textId="77777777" w:rsidTr="00203A6E">
        <w:trPr>
          <w:trHeight w:val="283"/>
        </w:trPr>
        <w:tc>
          <w:tcPr>
            <w:tcW w:w="9069"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43A60436" w14:textId="77777777" w:rsidR="00203A6E" w:rsidRPr="009B48A0" w:rsidRDefault="00203A6E" w:rsidP="00F4700C">
            <w:pPr>
              <w:jc w:val="both"/>
              <w:rPr>
                <w:sz w:val="22"/>
                <w:szCs w:val="22"/>
              </w:rPr>
            </w:pPr>
            <w:r>
              <w:rPr>
                <w:sz w:val="22"/>
                <w:szCs w:val="22"/>
              </w:rPr>
              <w:t>Baulich-funktionelle Gestaltung</w:t>
            </w:r>
          </w:p>
        </w:tc>
      </w:tr>
    </w:tbl>
    <w:p w14:paraId="37403183" w14:textId="77777777" w:rsidR="00203A6E" w:rsidRPr="009B48A0" w:rsidRDefault="00203A6E" w:rsidP="00203A6E">
      <w:pPr>
        <w:rPr>
          <w:sz w:val="22"/>
          <w:szCs w:val="22"/>
        </w:rPr>
      </w:pPr>
    </w:p>
    <w:p w14:paraId="34B85218" w14:textId="77777777" w:rsidR="00203A6E" w:rsidRDefault="00203A6E" w:rsidP="00203A6E">
      <w:pPr>
        <w:jc w:val="both"/>
        <w:rPr>
          <w:sz w:val="22"/>
          <w:szCs w:val="22"/>
        </w:rPr>
      </w:pPr>
      <w:r w:rsidRPr="007B602F">
        <w:rPr>
          <w:sz w:val="22"/>
          <w:szCs w:val="22"/>
        </w:rPr>
        <w:t xml:space="preserve">Die Ausstattung (Fußböden, Wände, Mobiliar, Gerätschaften und Flächen) aller vorhandener Räume ist leicht zu reinigen und zu desinfizieren. </w:t>
      </w:r>
      <w:r>
        <w:rPr>
          <w:sz w:val="22"/>
          <w:szCs w:val="22"/>
        </w:rPr>
        <w:t>Fußböden sind gesamt mit allen Bereichen mit leicht zu desinfizierenden Bodenleisten zu versehen. Bodenschweller, Fugen und Kanten sind zu vermeiden.</w:t>
      </w:r>
    </w:p>
    <w:p w14:paraId="1E3244F4" w14:textId="77777777" w:rsidR="00203A6E" w:rsidRDefault="00203A6E" w:rsidP="00203A6E">
      <w:pPr>
        <w:jc w:val="both"/>
        <w:rPr>
          <w:sz w:val="22"/>
          <w:szCs w:val="22"/>
        </w:rPr>
      </w:pPr>
    </w:p>
    <w:p w14:paraId="098BFD24" w14:textId="77777777" w:rsidR="00203A6E" w:rsidRDefault="00203A6E" w:rsidP="00203A6E">
      <w:pPr>
        <w:jc w:val="both"/>
        <w:rPr>
          <w:sz w:val="22"/>
          <w:szCs w:val="22"/>
        </w:rPr>
      </w:pPr>
      <w:r>
        <w:rPr>
          <w:sz w:val="22"/>
          <w:szCs w:val="22"/>
        </w:rPr>
        <w:t xml:space="preserve">Toiletten und andere Nassbereiche sind mindestens bis zu einer Höhe von 150 cm zu Fließen. </w:t>
      </w:r>
      <w:r w:rsidRPr="007B602F">
        <w:rPr>
          <w:sz w:val="22"/>
          <w:szCs w:val="22"/>
        </w:rPr>
        <w:t xml:space="preserve">An den relevanten Stellen sind hygienische Handwaschplätze vorhanden. </w:t>
      </w:r>
    </w:p>
    <w:p w14:paraId="5A7AFFE7" w14:textId="77777777" w:rsidR="00203A6E" w:rsidRDefault="00203A6E" w:rsidP="00203A6E">
      <w:pPr>
        <w:jc w:val="both"/>
        <w:rPr>
          <w:sz w:val="22"/>
          <w:szCs w:val="22"/>
        </w:rPr>
      </w:pPr>
    </w:p>
    <w:p w14:paraId="3BB8391B" w14:textId="77777777" w:rsidR="00203A6E" w:rsidRPr="007B602F" w:rsidRDefault="00203A6E" w:rsidP="00203A6E">
      <w:pPr>
        <w:jc w:val="both"/>
        <w:rPr>
          <w:sz w:val="22"/>
          <w:szCs w:val="22"/>
        </w:rPr>
      </w:pPr>
      <w:r w:rsidRPr="007B602F">
        <w:rPr>
          <w:sz w:val="22"/>
          <w:szCs w:val="22"/>
        </w:rPr>
        <w:t xml:space="preserve">Weitere allgemein gültige Anforderungen an den Personal- und Patientenschutz sind bei der Gestaltung der Räumlichkeiten und den geplanten Arbeitsabläufen berücksichtigt (z.B. Belüftung, Vorhalten von Schutzausrüstung). </w:t>
      </w:r>
    </w:p>
    <w:p w14:paraId="257381C6" w14:textId="77777777" w:rsidR="00203A6E" w:rsidRPr="007B602F" w:rsidRDefault="00203A6E" w:rsidP="00203A6E">
      <w:pPr>
        <w:jc w:val="both"/>
        <w:rPr>
          <w:sz w:val="22"/>
          <w:szCs w:val="22"/>
        </w:rPr>
      </w:pPr>
      <w:r w:rsidRPr="007B602F">
        <w:rPr>
          <w:sz w:val="22"/>
          <w:szCs w:val="22"/>
        </w:rPr>
        <w:t xml:space="preserve"> </w:t>
      </w:r>
    </w:p>
    <w:p w14:paraId="5B464EE9" w14:textId="77777777" w:rsidR="00203A6E" w:rsidRPr="007B602F" w:rsidRDefault="00203A6E" w:rsidP="00203A6E">
      <w:pPr>
        <w:jc w:val="both"/>
        <w:rPr>
          <w:sz w:val="22"/>
          <w:szCs w:val="22"/>
        </w:rPr>
      </w:pPr>
      <w:r w:rsidRPr="007B602F">
        <w:rPr>
          <w:sz w:val="22"/>
          <w:szCs w:val="22"/>
        </w:rPr>
        <w:t xml:space="preserve">Bei der Anwendung von Geräten und anderen Medizinprodukten werden stets die Herstellerangaben beachtet. Die Maßnahmen zur Aufbereitung von Geräten und Medizinprodukten sind schriftlich im Reinigungs- und Desinfektionsplan hinterlegt. </w:t>
      </w:r>
    </w:p>
    <w:p w14:paraId="334E3383" w14:textId="77777777" w:rsidR="00203A6E" w:rsidRPr="009B48A0" w:rsidRDefault="00203A6E" w:rsidP="00203A6E">
      <w:pPr>
        <w:jc w:val="both"/>
        <w:rPr>
          <w:sz w:val="22"/>
          <w:szCs w:val="22"/>
        </w:rPr>
      </w:pPr>
    </w:p>
    <w:p w14:paraId="35FFE0B9" w14:textId="77777777" w:rsidR="00021B94" w:rsidRPr="00021B94" w:rsidRDefault="00021B94" w:rsidP="00021B94">
      <w:pPr>
        <w:jc w:val="both"/>
        <w:rPr>
          <w:sz w:val="22"/>
          <w:szCs w:val="22"/>
        </w:rPr>
      </w:pPr>
      <w:r w:rsidRPr="00021B94">
        <w:rPr>
          <w:sz w:val="22"/>
          <w:szCs w:val="22"/>
        </w:rPr>
        <w:t>Die Arztpraxis muss mit leicht erreichbaren Handwaschplätzen ausgestattet sein.</w:t>
      </w:r>
    </w:p>
    <w:p w14:paraId="345CF91E" w14:textId="77777777" w:rsidR="00021B94" w:rsidRPr="00021B94" w:rsidRDefault="00021B94" w:rsidP="00021B94">
      <w:pPr>
        <w:jc w:val="both"/>
        <w:rPr>
          <w:sz w:val="22"/>
          <w:szCs w:val="22"/>
        </w:rPr>
      </w:pPr>
      <w:r w:rsidRPr="00021B94">
        <w:rPr>
          <w:sz w:val="22"/>
          <w:szCs w:val="22"/>
        </w:rPr>
        <w:t>Zur Ausstattung eines Handwaschplatzes gehören:</w:t>
      </w:r>
    </w:p>
    <w:p w14:paraId="6DCDD18E" w14:textId="77777777" w:rsidR="00021B94" w:rsidRPr="00021B94" w:rsidRDefault="00021B94" w:rsidP="00021B94">
      <w:pPr>
        <w:jc w:val="both"/>
        <w:rPr>
          <w:sz w:val="22"/>
          <w:szCs w:val="22"/>
        </w:rPr>
      </w:pPr>
    </w:p>
    <w:p w14:paraId="0BED36BD" w14:textId="77777777" w:rsidR="00021B94" w:rsidRPr="00021B94" w:rsidRDefault="00021B94" w:rsidP="00021B94">
      <w:pPr>
        <w:pStyle w:val="Listenabsatz"/>
        <w:numPr>
          <w:ilvl w:val="0"/>
          <w:numId w:val="1"/>
        </w:numPr>
        <w:jc w:val="both"/>
        <w:rPr>
          <w:sz w:val="22"/>
          <w:szCs w:val="22"/>
        </w:rPr>
      </w:pPr>
      <w:r w:rsidRPr="00021B94">
        <w:rPr>
          <w:sz w:val="22"/>
          <w:szCs w:val="22"/>
        </w:rPr>
        <w:t>verlängerte Hebelarmatur zur handkontaktlosen Bedienung mit fließend warmem und kaltem Wasser</w:t>
      </w:r>
    </w:p>
    <w:p w14:paraId="2659B7C5" w14:textId="77777777" w:rsidR="00021B94" w:rsidRPr="00021B94" w:rsidRDefault="00021B94" w:rsidP="00021B94">
      <w:pPr>
        <w:pStyle w:val="Listenabsatz"/>
        <w:numPr>
          <w:ilvl w:val="0"/>
          <w:numId w:val="1"/>
        </w:numPr>
        <w:jc w:val="both"/>
        <w:rPr>
          <w:sz w:val="22"/>
          <w:szCs w:val="22"/>
        </w:rPr>
      </w:pPr>
      <w:r w:rsidRPr="00021B94">
        <w:rPr>
          <w:sz w:val="22"/>
          <w:szCs w:val="22"/>
        </w:rPr>
        <w:t>Spender mit Handwaschpräparat (idealerweise wandmontiert)</w:t>
      </w:r>
    </w:p>
    <w:p w14:paraId="5AEBC281" w14:textId="77777777" w:rsidR="00021B94" w:rsidRPr="00021B94" w:rsidRDefault="00021B94" w:rsidP="00021B94">
      <w:pPr>
        <w:pStyle w:val="Listenabsatz"/>
        <w:numPr>
          <w:ilvl w:val="0"/>
          <w:numId w:val="1"/>
        </w:numPr>
        <w:jc w:val="both"/>
        <w:rPr>
          <w:sz w:val="22"/>
          <w:szCs w:val="22"/>
        </w:rPr>
      </w:pPr>
      <w:r w:rsidRPr="00021B94">
        <w:rPr>
          <w:sz w:val="22"/>
          <w:szCs w:val="22"/>
        </w:rPr>
        <w:t>Spender für Händedesinfektionsmittel (idealerweise wandmontiert)</w:t>
      </w:r>
    </w:p>
    <w:p w14:paraId="2191A2B6" w14:textId="77777777" w:rsidR="00021B94" w:rsidRPr="00021B94" w:rsidRDefault="00021B94" w:rsidP="00021B94">
      <w:pPr>
        <w:pStyle w:val="Listenabsatz"/>
        <w:numPr>
          <w:ilvl w:val="0"/>
          <w:numId w:val="1"/>
        </w:numPr>
        <w:jc w:val="both"/>
        <w:rPr>
          <w:sz w:val="22"/>
          <w:szCs w:val="22"/>
        </w:rPr>
      </w:pPr>
      <w:r w:rsidRPr="00021B94">
        <w:rPr>
          <w:sz w:val="22"/>
          <w:szCs w:val="22"/>
        </w:rPr>
        <w:t>Spender für Einmalhandtücher (idealerweise wandmontiert)</w:t>
      </w:r>
    </w:p>
    <w:p w14:paraId="6B1BDD68" w14:textId="77777777" w:rsidR="00021B94" w:rsidRPr="00021B94" w:rsidRDefault="00021B94" w:rsidP="00021B94">
      <w:pPr>
        <w:pStyle w:val="Listenabsatz"/>
        <w:numPr>
          <w:ilvl w:val="0"/>
          <w:numId w:val="1"/>
        </w:numPr>
        <w:jc w:val="both"/>
        <w:rPr>
          <w:sz w:val="22"/>
          <w:szCs w:val="22"/>
        </w:rPr>
      </w:pPr>
      <w:r w:rsidRPr="00021B94">
        <w:rPr>
          <w:sz w:val="22"/>
          <w:szCs w:val="22"/>
        </w:rPr>
        <w:t>ggf. Spender oder Tube für Hautpflege und Hautschutzmittel</w:t>
      </w:r>
    </w:p>
    <w:p w14:paraId="2709CEF3" w14:textId="77777777" w:rsidR="00021B94" w:rsidRPr="00021B94" w:rsidRDefault="00021B94" w:rsidP="00021B94">
      <w:pPr>
        <w:pStyle w:val="Listenabsatz"/>
        <w:numPr>
          <w:ilvl w:val="0"/>
          <w:numId w:val="1"/>
        </w:numPr>
        <w:jc w:val="both"/>
        <w:rPr>
          <w:sz w:val="22"/>
          <w:szCs w:val="22"/>
        </w:rPr>
      </w:pPr>
      <w:r w:rsidRPr="00021B94">
        <w:rPr>
          <w:sz w:val="22"/>
          <w:szCs w:val="22"/>
        </w:rPr>
        <w:t>Sammelbehälter für gebrauchte Einmalhandtücher</w:t>
      </w:r>
    </w:p>
    <w:p w14:paraId="3E5516F8" w14:textId="77777777" w:rsidR="00021B94" w:rsidRPr="00021B94" w:rsidRDefault="00021B94" w:rsidP="00021B94">
      <w:pPr>
        <w:jc w:val="both"/>
        <w:rPr>
          <w:sz w:val="22"/>
          <w:szCs w:val="22"/>
        </w:rPr>
      </w:pPr>
    </w:p>
    <w:p w14:paraId="615F0800" w14:textId="77777777" w:rsidR="00021B94" w:rsidRPr="00021B94" w:rsidRDefault="00021B94" w:rsidP="00021B94">
      <w:pPr>
        <w:jc w:val="both"/>
        <w:rPr>
          <w:sz w:val="22"/>
          <w:szCs w:val="22"/>
        </w:rPr>
      </w:pPr>
      <w:r w:rsidRPr="00021B94">
        <w:rPr>
          <w:sz w:val="22"/>
          <w:szCs w:val="22"/>
        </w:rPr>
        <w:t>Handwaschplätze müssen vorhanden sein:</w:t>
      </w:r>
    </w:p>
    <w:p w14:paraId="15C2D506" w14:textId="77777777" w:rsidR="00021B94" w:rsidRPr="00021B94" w:rsidRDefault="00021B94" w:rsidP="00021B94">
      <w:pPr>
        <w:jc w:val="both"/>
        <w:rPr>
          <w:sz w:val="22"/>
          <w:szCs w:val="22"/>
        </w:rPr>
      </w:pPr>
    </w:p>
    <w:p w14:paraId="6E7305AB" w14:textId="77777777" w:rsidR="00021B94" w:rsidRPr="00021B94" w:rsidRDefault="00021B94" w:rsidP="00021B94">
      <w:pPr>
        <w:pStyle w:val="Listenabsatz"/>
        <w:numPr>
          <w:ilvl w:val="0"/>
          <w:numId w:val="2"/>
        </w:numPr>
        <w:jc w:val="both"/>
        <w:rPr>
          <w:sz w:val="22"/>
          <w:szCs w:val="22"/>
        </w:rPr>
      </w:pPr>
      <w:r w:rsidRPr="00021B94">
        <w:rPr>
          <w:sz w:val="22"/>
          <w:szCs w:val="22"/>
        </w:rPr>
        <w:t>in Räumen oder in der Nähe von Räumen, in denen diagnostische oder invasive Maßnahmen durchgeführt werden,</w:t>
      </w:r>
    </w:p>
    <w:p w14:paraId="0EF030C9" w14:textId="1F4ED8BF" w:rsidR="00021B94" w:rsidRPr="00021B94" w:rsidRDefault="00021B94" w:rsidP="00021B94">
      <w:pPr>
        <w:pStyle w:val="Listenabsatz"/>
        <w:numPr>
          <w:ilvl w:val="0"/>
          <w:numId w:val="2"/>
        </w:numPr>
        <w:jc w:val="both"/>
        <w:rPr>
          <w:sz w:val="22"/>
          <w:szCs w:val="22"/>
        </w:rPr>
      </w:pPr>
      <w:r w:rsidRPr="00021B94">
        <w:rPr>
          <w:sz w:val="22"/>
          <w:szCs w:val="22"/>
        </w:rPr>
        <w:t>in Räumen, die zur Vorbereitung solcher Maßnahmen dienen, sowie</w:t>
      </w:r>
      <w:r w:rsidRPr="00021B94">
        <w:rPr>
          <w:sz w:val="22"/>
          <w:szCs w:val="22"/>
        </w:rPr>
        <w:t xml:space="preserve"> </w:t>
      </w:r>
      <w:r w:rsidRPr="00021B94">
        <w:rPr>
          <w:sz w:val="22"/>
          <w:szCs w:val="22"/>
        </w:rPr>
        <w:t>in unreinen Arbeitsbereichen bzw. in deren Nähe.</w:t>
      </w:r>
    </w:p>
    <w:p w14:paraId="120219B0" w14:textId="77777777" w:rsidR="00021B94" w:rsidRPr="00021B94" w:rsidRDefault="00021B94" w:rsidP="00021B94">
      <w:pPr>
        <w:jc w:val="both"/>
        <w:rPr>
          <w:sz w:val="22"/>
          <w:szCs w:val="22"/>
        </w:rPr>
      </w:pPr>
    </w:p>
    <w:p w14:paraId="2F8C4E8F" w14:textId="77777777" w:rsidR="00021B94" w:rsidRPr="00021B94" w:rsidRDefault="00021B94" w:rsidP="00021B94">
      <w:pPr>
        <w:jc w:val="both"/>
        <w:rPr>
          <w:sz w:val="22"/>
          <w:szCs w:val="22"/>
        </w:rPr>
      </w:pPr>
      <w:r w:rsidRPr="00021B94">
        <w:rPr>
          <w:sz w:val="22"/>
          <w:szCs w:val="22"/>
        </w:rPr>
        <w:t>Um die Entstehung erregerhaltigen Aerosols zu minimieren, soll der Wasserstrahl nicht direkt in den Siphon bzw. auf den Abfluss gerichtet sein. Siebstrahlregler am Auslauf der Wasserhähne sollen leicht austauschbar sein. Am Waschplatz ist ggf. ein Spritzschutz zur Abgrenzung von sauberen Arbeitsflächen anzubringen. Waschbecken sollten ausreichend groß, tief ausgeformt und ohne Überlauf sein.</w:t>
      </w:r>
    </w:p>
    <w:p w14:paraId="34AE9EFD" w14:textId="77777777" w:rsidR="00021B94" w:rsidRPr="00021B94" w:rsidRDefault="00021B94" w:rsidP="00021B94">
      <w:pPr>
        <w:jc w:val="both"/>
        <w:rPr>
          <w:sz w:val="22"/>
          <w:szCs w:val="22"/>
        </w:rPr>
      </w:pPr>
    </w:p>
    <w:p w14:paraId="2A161DFD" w14:textId="77777777" w:rsidR="00021B94" w:rsidRPr="00021B94" w:rsidRDefault="00021B94" w:rsidP="00021B94">
      <w:pPr>
        <w:jc w:val="both"/>
        <w:rPr>
          <w:sz w:val="22"/>
          <w:szCs w:val="22"/>
        </w:rPr>
      </w:pPr>
      <w:r w:rsidRPr="00021B94">
        <w:rPr>
          <w:sz w:val="22"/>
          <w:szCs w:val="22"/>
        </w:rPr>
        <w:t>An Handwaschplätzen, die von Personen mit direktem Patientenkontakt genutzt werden oder sich in kritischen Bereichen befinden, müssen die Spender handkontaktlos zu betätigen sein.</w:t>
      </w:r>
    </w:p>
    <w:p w14:paraId="2D8930BA" w14:textId="77777777" w:rsidR="00021B94" w:rsidRPr="00021B94" w:rsidRDefault="00021B94" w:rsidP="00021B94">
      <w:pPr>
        <w:jc w:val="both"/>
        <w:rPr>
          <w:sz w:val="22"/>
          <w:szCs w:val="22"/>
        </w:rPr>
      </w:pPr>
      <w:r w:rsidRPr="00021B94">
        <w:rPr>
          <w:sz w:val="22"/>
          <w:szCs w:val="22"/>
        </w:rPr>
        <w:t>Die Verwendung von Einmalflaschen mit Handwaschpräparat wird nachdrücklich empfohlen, weil bei Wiederaufbereitung und Nachfüllen des Spenders ein Kontaminationsrisiko besteht. Die Verwendung von Stückseife ist aus hygienischer Sicht nicht zulässig.</w:t>
      </w:r>
    </w:p>
    <w:p w14:paraId="031F23CB" w14:textId="77777777" w:rsidR="00021B94" w:rsidRPr="00021B94" w:rsidRDefault="00021B94" w:rsidP="00021B94">
      <w:pPr>
        <w:jc w:val="both"/>
        <w:rPr>
          <w:sz w:val="22"/>
          <w:szCs w:val="22"/>
        </w:rPr>
      </w:pPr>
    </w:p>
    <w:p w14:paraId="5A1AED86" w14:textId="36F53F9A" w:rsidR="00203A6E" w:rsidRPr="006B6563" w:rsidRDefault="00021B94" w:rsidP="00021B94">
      <w:pPr>
        <w:jc w:val="both"/>
        <w:rPr>
          <w:sz w:val="22"/>
          <w:szCs w:val="22"/>
        </w:rPr>
      </w:pPr>
      <w:r w:rsidRPr="00021B94">
        <w:rPr>
          <w:sz w:val="22"/>
          <w:szCs w:val="22"/>
        </w:rPr>
        <w:t xml:space="preserve">Neben den Desinfektionsmittelspendern am Handwaschplatz sind überall dort Spender </w:t>
      </w:r>
      <w:r w:rsidRPr="00021B94">
        <w:rPr>
          <w:sz w:val="22"/>
          <w:szCs w:val="22"/>
        </w:rPr>
        <w:lastRenderedPageBreak/>
        <w:t>vorzuhalten, wo eine Händedesinfektion durchzuführen ist. Außerdem sind wandmontierte oder</w:t>
      </w:r>
      <w:r>
        <w:rPr>
          <w:sz w:val="22"/>
          <w:szCs w:val="22"/>
        </w:rPr>
        <w:t xml:space="preserve"> </w:t>
      </w:r>
      <w:r w:rsidRPr="00021B94">
        <w:rPr>
          <w:sz w:val="22"/>
          <w:szCs w:val="22"/>
        </w:rPr>
        <w:t>mobile Spender an reinen und unreinen Arbeitsplätzen und ggf. in Schleusen zur Verfügung zu stellen.</w:t>
      </w:r>
    </w:p>
    <w:p w14:paraId="33D39D91" w14:textId="4B41BD42" w:rsidR="00D04A3E" w:rsidRPr="00B61222" w:rsidRDefault="00D04A3E" w:rsidP="00B61222"/>
    <w:sectPr w:rsidR="00D04A3E" w:rsidRPr="00B61222" w:rsidSect="002E168E">
      <w:pgSz w:w="11906" w:h="16838" w:code="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F0863" w14:textId="77777777" w:rsidR="00A133B5" w:rsidRDefault="00A133B5" w:rsidP="006E77A1">
      <w:r>
        <w:separator/>
      </w:r>
    </w:p>
  </w:endnote>
  <w:endnote w:type="continuationSeparator" w:id="0">
    <w:p w14:paraId="1281A898" w14:textId="77777777" w:rsidR="00A133B5" w:rsidRDefault="00A133B5" w:rsidP="006E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049D0" w14:textId="77777777" w:rsidR="00A133B5" w:rsidRDefault="00A133B5" w:rsidP="006E77A1">
      <w:r>
        <w:separator/>
      </w:r>
    </w:p>
  </w:footnote>
  <w:footnote w:type="continuationSeparator" w:id="0">
    <w:p w14:paraId="124170C0" w14:textId="77777777" w:rsidR="00A133B5" w:rsidRDefault="00A133B5" w:rsidP="006E7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6607F"/>
    <w:multiLevelType w:val="hybridMultilevel"/>
    <w:tmpl w:val="6820F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C937252"/>
    <w:multiLevelType w:val="hybridMultilevel"/>
    <w:tmpl w:val="004A79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14660705">
    <w:abstractNumId w:val="0"/>
  </w:num>
  <w:num w:numId="2" w16cid:durableId="1656569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D4"/>
    <w:rsid w:val="0001492A"/>
    <w:rsid w:val="00021B94"/>
    <w:rsid w:val="00061D0F"/>
    <w:rsid w:val="00094CEF"/>
    <w:rsid w:val="000A4DF4"/>
    <w:rsid w:val="00165027"/>
    <w:rsid w:val="00203A6E"/>
    <w:rsid w:val="00242BBB"/>
    <w:rsid w:val="002C2A5B"/>
    <w:rsid w:val="002D17C0"/>
    <w:rsid w:val="002E168E"/>
    <w:rsid w:val="00365897"/>
    <w:rsid w:val="003723AB"/>
    <w:rsid w:val="00397CEA"/>
    <w:rsid w:val="003A5A6F"/>
    <w:rsid w:val="003C228E"/>
    <w:rsid w:val="003C49EB"/>
    <w:rsid w:val="00422A5F"/>
    <w:rsid w:val="004303C0"/>
    <w:rsid w:val="00490E45"/>
    <w:rsid w:val="004D49FE"/>
    <w:rsid w:val="004E3C72"/>
    <w:rsid w:val="00553BD4"/>
    <w:rsid w:val="0057587E"/>
    <w:rsid w:val="005955D5"/>
    <w:rsid w:val="005A6C08"/>
    <w:rsid w:val="005C3AF0"/>
    <w:rsid w:val="005F207E"/>
    <w:rsid w:val="00623641"/>
    <w:rsid w:val="006721C3"/>
    <w:rsid w:val="00697162"/>
    <w:rsid w:val="006C6F02"/>
    <w:rsid w:val="006E77A1"/>
    <w:rsid w:val="00727B47"/>
    <w:rsid w:val="00755F24"/>
    <w:rsid w:val="007D7FC9"/>
    <w:rsid w:val="008323FD"/>
    <w:rsid w:val="008540C2"/>
    <w:rsid w:val="00866A45"/>
    <w:rsid w:val="008818FD"/>
    <w:rsid w:val="008D7D78"/>
    <w:rsid w:val="00941B1E"/>
    <w:rsid w:val="00997732"/>
    <w:rsid w:val="009F7209"/>
    <w:rsid w:val="00A0200E"/>
    <w:rsid w:val="00A133B5"/>
    <w:rsid w:val="00A34432"/>
    <w:rsid w:val="00AD2E45"/>
    <w:rsid w:val="00AF341B"/>
    <w:rsid w:val="00B15CFE"/>
    <w:rsid w:val="00B3451A"/>
    <w:rsid w:val="00B4544B"/>
    <w:rsid w:val="00B61222"/>
    <w:rsid w:val="00BA54F4"/>
    <w:rsid w:val="00C353B4"/>
    <w:rsid w:val="00C56F55"/>
    <w:rsid w:val="00C604D7"/>
    <w:rsid w:val="00CB74F4"/>
    <w:rsid w:val="00CD08E6"/>
    <w:rsid w:val="00D04A3E"/>
    <w:rsid w:val="00D25449"/>
    <w:rsid w:val="00D77238"/>
    <w:rsid w:val="00D8258E"/>
    <w:rsid w:val="00DC0C50"/>
    <w:rsid w:val="00DD048D"/>
    <w:rsid w:val="00DD7F5A"/>
    <w:rsid w:val="00DF064A"/>
    <w:rsid w:val="00DF210A"/>
    <w:rsid w:val="00E40FAD"/>
    <w:rsid w:val="00E74A6A"/>
    <w:rsid w:val="00EA30DF"/>
    <w:rsid w:val="00EF2C8A"/>
    <w:rsid w:val="00F01F8E"/>
    <w:rsid w:val="00FF0E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9493"/>
  <w15:chartTrackingRefBased/>
  <w15:docId w15:val="{91A7EB1F-B0E8-47E7-BEA4-86014BE6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53BD4"/>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Contents">
    <w:name w:val="Table Contents"/>
    <w:basedOn w:val="Standard"/>
    <w:rsid w:val="00553BD4"/>
    <w:pPr>
      <w:suppressLineNumbers/>
      <w:autoSpaceDE w:val="0"/>
    </w:pPr>
    <w:rPr>
      <w:rFonts w:cs="Arial"/>
      <w:sz w:val="22"/>
      <w:lang w:eastAsia="en-US"/>
    </w:rPr>
  </w:style>
  <w:style w:type="table" w:styleId="Tabellenraster">
    <w:name w:val="Table Grid"/>
    <w:basedOn w:val="NormaleTabelle"/>
    <w:uiPriority w:val="39"/>
    <w:rsid w:val="00553BD4"/>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DC0C50"/>
    <w:pPr>
      <w:spacing w:after="120"/>
    </w:pPr>
  </w:style>
  <w:style w:type="paragraph" w:styleId="Listenabsatz">
    <w:name w:val="List Paragraph"/>
    <w:basedOn w:val="Standard"/>
    <w:rsid w:val="00DC0C50"/>
    <w:pPr>
      <w:ind w:left="720"/>
    </w:pPr>
  </w:style>
  <w:style w:type="paragraph" w:styleId="Kopfzeile">
    <w:name w:val="header"/>
    <w:basedOn w:val="Standard"/>
    <w:link w:val="KopfzeileZchn"/>
    <w:uiPriority w:val="99"/>
    <w:unhideWhenUsed/>
    <w:rsid w:val="006E77A1"/>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6E77A1"/>
    <w:rPr>
      <w:rFonts w:ascii="Arial" w:eastAsia="Droid Sans Fallback" w:hAnsi="Arial" w:cs="Mangal"/>
      <w:kern w:val="3"/>
      <w:sz w:val="24"/>
      <w:szCs w:val="21"/>
      <w:lang w:eastAsia="zh-CN" w:bidi="hi-IN"/>
    </w:rPr>
  </w:style>
  <w:style w:type="paragraph" w:styleId="Fuzeile">
    <w:name w:val="footer"/>
    <w:basedOn w:val="Standard"/>
    <w:link w:val="FuzeileZchn"/>
    <w:uiPriority w:val="99"/>
    <w:unhideWhenUsed/>
    <w:rsid w:val="006E77A1"/>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6E77A1"/>
    <w:rPr>
      <w:rFonts w:ascii="Arial" w:eastAsia="Droid Sans Fallback" w:hAnsi="Arial" w:cs="Mangal"/>
      <w:kern w:val="3"/>
      <w:sz w:val="24"/>
      <w:szCs w:val="21"/>
      <w:lang w:eastAsia="zh-CN" w:bidi="hi-IN"/>
    </w:rPr>
  </w:style>
  <w:style w:type="character" w:styleId="Hyperlink">
    <w:name w:val="Hyperlink"/>
    <w:basedOn w:val="Absatz-Standardschriftart"/>
    <w:uiPriority w:val="99"/>
    <w:unhideWhenUsed/>
    <w:rsid w:val="006E77A1"/>
    <w:rPr>
      <w:color w:val="0563C1" w:themeColor="hyperlink"/>
      <w:u w:val="single"/>
    </w:rPr>
  </w:style>
  <w:style w:type="character" w:styleId="NichtaufgelsteErwhnung">
    <w:name w:val="Unresolved Mention"/>
    <w:basedOn w:val="Absatz-Standardschriftart"/>
    <w:uiPriority w:val="99"/>
    <w:semiHidden/>
    <w:unhideWhenUsed/>
    <w:rsid w:val="006E77A1"/>
    <w:rPr>
      <w:color w:val="605E5C"/>
      <w:shd w:val="clear" w:color="auto" w:fill="E1DFDD"/>
    </w:rPr>
  </w:style>
  <w:style w:type="table" w:customStyle="1" w:styleId="Tabellenraster1">
    <w:name w:val="Tabellenraster1"/>
    <w:basedOn w:val="NormaleTabelle"/>
    <w:next w:val="Tabellenraster"/>
    <w:uiPriority w:val="39"/>
    <w:rsid w:val="00490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2520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3</cp:revision>
  <dcterms:created xsi:type="dcterms:W3CDTF">2022-09-14T13:01:00Z</dcterms:created>
  <dcterms:modified xsi:type="dcterms:W3CDTF">2022-12-26T13:53:00Z</dcterms:modified>
</cp:coreProperties>
</file>