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6E77A1" w14:paraId="458FC3D2" w14:textId="77777777" w:rsidTr="004D49FE">
        <w:trPr>
          <w:trHeight w:val="283"/>
        </w:trPr>
        <w:tc>
          <w:tcPr>
            <w:tcW w:w="90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B7DF" w14:textId="77777777" w:rsidR="006E77A1" w:rsidRPr="001A79EB" w:rsidRDefault="006E77A1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Anlage Aushang Anleitung Händewaschen</w:t>
            </w:r>
          </w:p>
        </w:tc>
      </w:tr>
    </w:tbl>
    <w:p w14:paraId="37583904" w14:textId="77777777" w:rsidR="006E77A1" w:rsidRPr="006E77A1" w:rsidRDefault="006E77A1" w:rsidP="006E77A1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outlineLvl w:val="1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6E77A1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Hände gründlich waschen</w:t>
      </w:r>
    </w:p>
    <w:p w14:paraId="4E900D3E" w14:textId="77777777" w:rsidR="006E77A1" w:rsidRPr="00155B08" w:rsidRDefault="006E77A1" w:rsidP="006E77A1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155B08">
        <w:rPr>
          <w:rFonts w:eastAsia="Times New Roman" w:cs="Arial"/>
          <w:kern w:val="0"/>
          <w:sz w:val="22"/>
          <w:szCs w:val="22"/>
          <w:lang w:eastAsia="de-DE" w:bidi="ar-SA"/>
        </w:rPr>
        <w:t>Schmutz und auch Krankheitskeime abwaschen – das klingt einfach. Richtiges Händewaschen erfordert aber ein sorgfältiges Vorgehen. Häufig werden die Hände beispielsweise nicht ausreichend lange eingeseift und insbesondere Handrücken, Daumen und Fingerspitzen vernachlässigt.</w:t>
      </w:r>
    </w:p>
    <w:p w14:paraId="0758E59C" w14:textId="77777777" w:rsidR="006E77A1" w:rsidRPr="00155B08" w:rsidRDefault="006E77A1" w:rsidP="006E77A1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155B08">
        <w:rPr>
          <w:rFonts w:eastAsia="Times New Roman" w:cs="Arial"/>
          <w:kern w:val="0"/>
          <w:sz w:val="22"/>
          <w:szCs w:val="22"/>
          <w:lang w:eastAsia="de-DE" w:bidi="ar-SA"/>
        </w:rPr>
        <w:t>Gründliches Händewaschen gelingt in fünf Schritten: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6813"/>
      </w:tblGrid>
      <w:tr w:rsidR="00755F24" w14:paraId="4C30DD15" w14:textId="77777777" w:rsidTr="00F4700C">
        <w:tc>
          <w:tcPr>
            <w:tcW w:w="2263" w:type="dxa"/>
          </w:tcPr>
          <w:p w14:paraId="786D3C3A" w14:textId="4A46A74F" w:rsidR="006E77A1" w:rsidRDefault="004D49FE" w:rsidP="00F4700C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outlineLvl w:val="2"/>
              <w:rPr>
                <w:rFonts w:eastAsia="Times New Roman" w:cs="Arial"/>
                <w:color w:val="5E5E5F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  <w:drawing>
                <wp:inline distT="0" distB="0" distL="0" distR="0" wp14:anchorId="6C162F35" wp14:editId="767BA083">
                  <wp:extent cx="1211580" cy="86628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274" cy="887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11AC83DF" w14:textId="77777777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155B08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Halten Sie die Hände zunächst unter fließendes Wasser. Die Temperatur können Sie so wählen, dass sie angenehm ist.</w:t>
            </w:r>
          </w:p>
          <w:p w14:paraId="224BACCC" w14:textId="77777777" w:rsidR="006E77A1" w:rsidRPr="00155B08" w:rsidRDefault="006E77A1" w:rsidP="00F4700C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outlineLvl w:val="2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755F24" w14:paraId="3B672DF2" w14:textId="77777777" w:rsidTr="00F4700C">
        <w:tc>
          <w:tcPr>
            <w:tcW w:w="2263" w:type="dxa"/>
          </w:tcPr>
          <w:p w14:paraId="099E59B5" w14:textId="77777777" w:rsidR="006E77A1" w:rsidRPr="00155B08" w:rsidRDefault="006E77A1" w:rsidP="00F4700C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outlineLvl w:val="2"/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7365" w:type="dxa"/>
          </w:tcPr>
          <w:p w14:paraId="1AE41786" w14:textId="77777777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755F24" w14:paraId="478D4895" w14:textId="77777777" w:rsidTr="00F4700C">
        <w:tc>
          <w:tcPr>
            <w:tcW w:w="2263" w:type="dxa"/>
          </w:tcPr>
          <w:p w14:paraId="005A7496" w14:textId="407585CF" w:rsidR="006E77A1" w:rsidRPr="00155B08" w:rsidRDefault="00755F24" w:rsidP="00F4700C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outlineLvl w:val="2"/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  <w:drawing>
                <wp:inline distT="0" distB="0" distL="0" distR="0" wp14:anchorId="55E7E1C0" wp14:editId="3015F33A">
                  <wp:extent cx="1225595" cy="8763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313" cy="885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29373F8A" w14:textId="07D7C04E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155B08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Seifen Sie dann die Hände gründlich ein</w:t>
            </w:r>
            <w:r w:rsidR="004D49F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, </w:t>
            </w:r>
            <w:r w:rsidRPr="00155B08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sowohl Handinnenflächen als auch Handrücken, Fingerspitzen, Fingerzwischenräume und Daumen. Denken Sie auch an die Fingernägel. Hygienischer als Seifenstücke sind Flüssigseifen, besonders in öffentlichen Waschräumen.</w:t>
            </w:r>
          </w:p>
        </w:tc>
      </w:tr>
      <w:tr w:rsidR="00755F24" w14:paraId="59B97866" w14:textId="77777777" w:rsidTr="00F4700C">
        <w:tc>
          <w:tcPr>
            <w:tcW w:w="2263" w:type="dxa"/>
          </w:tcPr>
          <w:p w14:paraId="12264DE1" w14:textId="77777777" w:rsidR="006E77A1" w:rsidRPr="00155B08" w:rsidRDefault="006E77A1" w:rsidP="00F4700C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outlineLvl w:val="2"/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7365" w:type="dxa"/>
          </w:tcPr>
          <w:p w14:paraId="62866ABB" w14:textId="77777777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755F24" w14:paraId="7481DCC8" w14:textId="77777777" w:rsidTr="00F4700C">
        <w:tc>
          <w:tcPr>
            <w:tcW w:w="2263" w:type="dxa"/>
          </w:tcPr>
          <w:p w14:paraId="3B4CD38C" w14:textId="4FFBE7ED" w:rsidR="006E77A1" w:rsidRPr="00155B08" w:rsidRDefault="00755F24" w:rsidP="00F4700C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outlineLvl w:val="2"/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  <w:drawing>
                <wp:inline distT="0" distB="0" distL="0" distR="0" wp14:anchorId="5CABEE50" wp14:editId="6E6A9CEA">
                  <wp:extent cx="1246908" cy="891540"/>
                  <wp:effectExtent l="0" t="0" r="0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434" cy="902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0D5C6A52" w14:textId="77777777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155B08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Reiben Sie die Seife an allen Stellen sanft ein. Gründliches Händewaschen dauert 20 bis 30 Sekunden.</w:t>
            </w:r>
          </w:p>
          <w:p w14:paraId="2D6771B4" w14:textId="77777777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755F24" w14:paraId="10CF4B6E" w14:textId="77777777" w:rsidTr="00F4700C">
        <w:tc>
          <w:tcPr>
            <w:tcW w:w="2263" w:type="dxa"/>
          </w:tcPr>
          <w:p w14:paraId="34FFCF0E" w14:textId="77777777" w:rsidR="006E77A1" w:rsidRPr="00155B08" w:rsidRDefault="006E77A1" w:rsidP="00F4700C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outlineLvl w:val="2"/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7365" w:type="dxa"/>
          </w:tcPr>
          <w:p w14:paraId="54B7233A" w14:textId="77777777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755F24" w14:paraId="1078B4DC" w14:textId="77777777" w:rsidTr="00F4700C">
        <w:tc>
          <w:tcPr>
            <w:tcW w:w="2263" w:type="dxa"/>
          </w:tcPr>
          <w:p w14:paraId="7B8D68E4" w14:textId="16E744C8" w:rsidR="006E77A1" w:rsidRPr="00155B08" w:rsidRDefault="00755F24" w:rsidP="00F4700C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outlineLvl w:val="2"/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  <w:drawing>
                <wp:inline distT="0" distB="0" distL="0" distR="0" wp14:anchorId="1E986DA5" wp14:editId="7F219D15">
                  <wp:extent cx="1272025" cy="909498"/>
                  <wp:effectExtent l="0" t="0" r="4445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747" cy="921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7AFDD9ED" w14:textId="77777777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155B08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Danach die Hände unter fließendem Wasser abspülen. Verwenden Sie in öffentlichen Toiletten zum Schließen des Wasserhahns ein Einweghandtuch oder Ihren Ellenbogen.</w:t>
            </w:r>
          </w:p>
          <w:p w14:paraId="779E56E6" w14:textId="77777777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755F24" w14:paraId="2420FFDA" w14:textId="77777777" w:rsidTr="00F4700C">
        <w:tc>
          <w:tcPr>
            <w:tcW w:w="2263" w:type="dxa"/>
          </w:tcPr>
          <w:p w14:paraId="01BF26C8" w14:textId="77777777" w:rsidR="006E77A1" w:rsidRPr="00155B08" w:rsidRDefault="006E77A1" w:rsidP="00F4700C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outlineLvl w:val="2"/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7365" w:type="dxa"/>
          </w:tcPr>
          <w:p w14:paraId="1D3F6561" w14:textId="77777777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755F24" w14:paraId="51CAC7A5" w14:textId="77777777" w:rsidTr="00F4700C">
        <w:tc>
          <w:tcPr>
            <w:tcW w:w="2263" w:type="dxa"/>
          </w:tcPr>
          <w:p w14:paraId="21040EDC" w14:textId="6E139C29" w:rsidR="006E77A1" w:rsidRPr="00155B08" w:rsidRDefault="00755F24" w:rsidP="00F4700C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outlineLvl w:val="2"/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noProof/>
                <w:color w:val="5E5E5F"/>
                <w:kern w:val="0"/>
                <w:sz w:val="22"/>
                <w:szCs w:val="22"/>
                <w:lang w:eastAsia="de-DE" w:bidi="ar-SA"/>
              </w:rPr>
              <w:drawing>
                <wp:inline distT="0" distB="0" distL="0" distR="0" wp14:anchorId="5EF29922" wp14:editId="25377FD7">
                  <wp:extent cx="1272025" cy="909498"/>
                  <wp:effectExtent l="0" t="0" r="4445" b="508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961" cy="921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33BADE65" w14:textId="77777777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155B08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Trocknen Sie anschließend die Hände sorgfältig ab, auch in den Fingerzwischenräumen. In öffentlichen Toiletten eignen sich hierfür am besten Einmalhandtücher. Zu Hause sollte jeder sein persönliches Handtuch benutzen.</w:t>
            </w:r>
          </w:p>
          <w:p w14:paraId="22F2A5AE" w14:textId="77777777" w:rsidR="006E77A1" w:rsidRPr="00155B08" w:rsidRDefault="006E77A1" w:rsidP="00F4700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</w:tbl>
    <w:p w14:paraId="6B59F110" w14:textId="75612855" w:rsidR="006E77A1" w:rsidRDefault="006E77A1" w:rsidP="006E77A1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="1416" w:hanging="1416"/>
        <w:jc w:val="both"/>
        <w:textAlignment w:val="auto"/>
        <w:outlineLvl w:val="2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155B08">
        <w:rPr>
          <w:rFonts w:eastAsia="Times New Roman" w:cs="Arial"/>
          <w:kern w:val="0"/>
          <w:sz w:val="22"/>
          <w:szCs w:val="22"/>
          <w:u w:val="single"/>
          <w:lang w:eastAsia="de-DE" w:bidi="ar-SA"/>
        </w:rPr>
        <w:t>Hinweise</w:t>
      </w:r>
      <w:r w:rsidRPr="00155B08">
        <w:rPr>
          <w:rFonts w:eastAsia="Times New Roman" w:cs="Arial"/>
          <w:kern w:val="0"/>
          <w:sz w:val="22"/>
          <w:szCs w:val="22"/>
          <w:lang w:eastAsia="de-DE" w:bidi="ar-SA"/>
        </w:rPr>
        <w:t xml:space="preserve">: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ab/>
        <w:t>Dauer mindestens 20</w:t>
      </w:r>
      <w:r w:rsidR="00755F24">
        <w:rPr>
          <w:rFonts w:eastAsia="Times New Roman" w:cs="Arial"/>
          <w:kern w:val="0"/>
          <w:sz w:val="22"/>
          <w:szCs w:val="22"/>
          <w:lang w:eastAsia="de-DE" w:bidi="ar-SA"/>
        </w:rPr>
        <w:t xml:space="preserve"> besser 30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Sekunden, Hände gut abtrocknen, Hautpflege bei häufigem Waschen nicht vergessen. PH-Neutrale Seifen nutzen. Einmalhandtücher im gewerblichen Bereich nutzen.</w:t>
      </w:r>
    </w:p>
    <w:p w14:paraId="20C4DC1B" w14:textId="3F851B51" w:rsidR="008540C2" w:rsidRPr="00DF064A" w:rsidRDefault="008540C2" w:rsidP="00DF064A"/>
    <w:sectPr w:rsidR="008540C2" w:rsidRPr="00DF064A" w:rsidSect="004E3C72">
      <w:footerReference w:type="default" r:id="rId12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1376" w14:textId="77777777" w:rsidR="004C1942" w:rsidRDefault="004C1942" w:rsidP="006E77A1">
      <w:r>
        <w:separator/>
      </w:r>
    </w:p>
  </w:endnote>
  <w:endnote w:type="continuationSeparator" w:id="0">
    <w:p w14:paraId="55E9222B" w14:textId="77777777" w:rsidR="004C1942" w:rsidRDefault="004C1942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54A9" w14:textId="7B6DEFFA" w:rsidR="006E77A1" w:rsidRDefault="006E77A1">
    <w:pPr>
      <w:pStyle w:val="Fuzeile"/>
    </w:pPr>
    <w:r w:rsidRPr="006E77A1">
      <w:rPr>
        <w:b/>
        <w:bCs/>
        <w:color w:val="C00000"/>
      </w:rPr>
      <w:t>IMS</w:t>
    </w:r>
    <w:r>
      <w:t xml:space="preserve"> Services                  </w:t>
    </w:r>
    <w:hyperlink r:id="rId1" w:history="1">
      <w:r w:rsidRPr="00766580">
        <w:rPr>
          <w:rStyle w:val="Hyperlink"/>
        </w:rPr>
        <w:t>www.imsservices.biz</w:t>
      </w:r>
    </w:hyperlink>
    <w:r>
      <w:t xml:space="preserve">                  </w:t>
    </w:r>
    <w:hyperlink r:id="rId2" w:history="1">
      <w:r w:rsidRPr="00766580">
        <w:rPr>
          <w:rStyle w:val="Hyperlink"/>
        </w:rPr>
        <w:t>info@imsservices.biz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76C4" w14:textId="77777777" w:rsidR="004C1942" w:rsidRDefault="004C1942" w:rsidP="006E77A1">
      <w:r>
        <w:separator/>
      </w:r>
    </w:p>
  </w:footnote>
  <w:footnote w:type="continuationSeparator" w:id="0">
    <w:p w14:paraId="165F7343" w14:textId="77777777" w:rsidR="004C1942" w:rsidRDefault="004C1942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C5D"/>
    <w:multiLevelType w:val="hybridMultilevel"/>
    <w:tmpl w:val="2A76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49B4"/>
    <w:multiLevelType w:val="hybridMultilevel"/>
    <w:tmpl w:val="5FC21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E0800"/>
    <w:multiLevelType w:val="hybridMultilevel"/>
    <w:tmpl w:val="3A320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C36DC"/>
    <w:multiLevelType w:val="hybridMultilevel"/>
    <w:tmpl w:val="C81C5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5446"/>
    <w:multiLevelType w:val="multilevel"/>
    <w:tmpl w:val="A2284996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Droid Sans Fallback" w:hAnsi="Arial" w:cs="Arial"/>
      </w:rPr>
    </w:lvl>
    <w:lvl w:ilvl="1">
      <w:numFmt w:val="bullet"/>
      <w:lvlText w:val="◦"/>
      <w:lvlJc w:val="left"/>
      <w:pPr>
        <w:ind w:left="850" w:hanging="283"/>
      </w:pPr>
      <w:rPr>
        <w:rFonts w:ascii="StarSymbol" w:eastAsia="OpenSymbol" w:hAnsi="StarSymbol" w:cs="OpenSymbol"/>
        <w:shd w:val="clear" w:color="auto" w:fill="auto"/>
      </w:rPr>
    </w:lvl>
    <w:lvl w:ilvl="2">
      <w:start w:val="1"/>
      <w:numFmt w:val="decimal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</w:lvl>
    <w:lvl w:ilvl="4">
      <w:start w:val="1"/>
      <w:numFmt w:val="decimal"/>
      <w:suff w:val="space"/>
      <w:lvlText w:val="%5."/>
      <w:lvlJc w:val="left"/>
    </w:lvl>
    <w:lvl w:ilvl="5">
      <w:start w:val="1"/>
      <w:numFmt w:val="decimal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decimal"/>
      <w:suff w:val="space"/>
      <w:lvlText w:val="%8."/>
      <w:lvlJc w:val="left"/>
    </w:lvl>
    <w:lvl w:ilvl="8">
      <w:start w:val="1"/>
      <w:numFmt w:val="decimal"/>
      <w:suff w:val="space"/>
      <w:lvlText w:val="%9."/>
      <w:lvlJc w:val="left"/>
    </w:lvl>
  </w:abstractNum>
  <w:abstractNum w:abstractNumId="5" w15:restartNumberingAfterBreak="0">
    <w:nsid w:val="5E396FEE"/>
    <w:multiLevelType w:val="hybridMultilevel"/>
    <w:tmpl w:val="A28C4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76D66"/>
    <w:multiLevelType w:val="hybridMultilevel"/>
    <w:tmpl w:val="497C7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879E1"/>
    <w:multiLevelType w:val="hybridMultilevel"/>
    <w:tmpl w:val="ED80F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D227C"/>
    <w:multiLevelType w:val="hybridMultilevel"/>
    <w:tmpl w:val="29F64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00731"/>
    <w:multiLevelType w:val="hybridMultilevel"/>
    <w:tmpl w:val="2504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05053">
    <w:abstractNumId w:val="5"/>
  </w:num>
  <w:num w:numId="2" w16cid:durableId="257909389">
    <w:abstractNumId w:val="4"/>
  </w:num>
  <w:num w:numId="3" w16cid:durableId="41371771">
    <w:abstractNumId w:val="2"/>
  </w:num>
  <w:num w:numId="4" w16cid:durableId="1602834753">
    <w:abstractNumId w:val="7"/>
  </w:num>
  <w:num w:numId="5" w16cid:durableId="494952803">
    <w:abstractNumId w:val="3"/>
  </w:num>
  <w:num w:numId="6" w16cid:durableId="1600018470">
    <w:abstractNumId w:val="8"/>
  </w:num>
  <w:num w:numId="7" w16cid:durableId="1651060106">
    <w:abstractNumId w:val="0"/>
  </w:num>
  <w:num w:numId="8" w16cid:durableId="1067269674">
    <w:abstractNumId w:val="1"/>
  </w:num>
  <w:num w:numId="9" w16cid:durableId="246311070">
    <w:abstractNumId w:val="9"/>
  </w:num>
  <w:num w:numId="10" w16cid:durableId="1044595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61D0F"/>
    <w:rsid w:val="00365897"/>
    <w:rsid w:val="004C1942"/>
    <w:rsid w:val="004D49FE"/>
    <w:rsid w:val="004E3C72"/>
    <w:rsid w:val="00553BD4"/>
    <w:rsid w:val="0057587E"/>
    <w:rsid w:val="006E77A1"/>
    <w:rsid w:val="00755F24"/>
    <w:rsid w:val="008323FD"/>
    <w:rsid w:val="008540C2"/>
    <w:rsid w:val="00997732"/>
    <w:rsid w:val="00AD2E45"/>
    <w:rsid w:val="00C56F55"/>
    <w:rsid w:val="00CB74F4"/>
    <w:rsid w:val="00DC0C50"/>
    <w:rsid w:val="00D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msservices.biz" TargetMode="External"/><Relationship Id="rId1" Type="http://schemas.openxmlformats.org/officeDocument/2006/relationships/hyperlink" Target="http://www.imsservices.bi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    Hände gründlich waschen</vt:lpstr>
      <vt:lpstr>        Gründliches Händewaschen gelingt in fünf Schritten:</vt:lpstr>
      <vt:lpstr>        Hinweise: 	Dauer mindestens 20 Sekunden, Hände gut abtrocknen, Hautpflege bei hä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2022-09-12T09:11:00Z</dcterms:created>
  <dcterms:modified xsi:type="dcterms:W3CDTF">2022-09-12T09:18:00Z</dcterms:modified>
</cp:coreProperties>
</file>