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385DC7" w14:paraId="397D01C9" w14:textId="77777777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2D291D" w14:textId="77777777"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F31F9" w14:textId="3C2D31F7" w:rsidR="00385DC7" w:rsidRDefault="00B7254A" w:rsidP="00825B55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 w:rsidRPr="00A63818">
              <w:rPr>
                <w:szCs w:val="22"/>
                <w:highlight w:val="lightGray"/>
                <w:shd w:val="clear" w:color="auto" w:fill="FF0000"/>
              </w:rPr>
              <w:t>Hygiene</w:t>
            </w:r>
            <w:r w:rsidR="007D7136" w:rsidRPr="00A63818">
              <w:rPr>
                <w:szCs w:val="22"/>
                <w:highlight w:val="lightGray"/>
                <w:shd w:val="clear" w:color="auto" w:fill="FF0000"/>
              </w:rPr>
              <w:t xml:space="preserve">organisation Ordner </w:t>
            </w:r>
            <w:r w:rsidR="00374845" w:rsidRPr="00A63818">
              <w:rPr>
                <w:szCs w:val="22"/>
                <w:highlight w:val="lightGray"/>
                <w:shd w:val="clear" w:color="auto" w:fill="FF0000"/>
              </w:rPr>
              <w:t>2</w:t>
            </w:r>
            <w:r w:rsidR="007D7136" w:rsidRPr="00A63818">
              <w:rPr>
                <w:szCs w:val="22"/>
                <w:highlight w:val="lightGray"/>
                <w:shd w:val="clear" w:color="auto" w:fill="FF0000"/>
              </w:rPr>
              <w:t xml:space="preserve"> Register </w:t>
            </w:r>
            <w:r w:rsidR="00665BCF">
              <w:rPr>
                <w:szCs w:val="22"/>
                <w:highlight w:val="lightGray"/>
                <w:shd w:val="clear" w:color="auto" w:fill="FF0000"/>
              </w:rPr>
              <w:t>3</w:t>
            </w:r>
          </w:p>
        </w:tc>
      </w:tr>
      <w:tr w:rsidR="00385DC7" w14:paraId="264F8F68" w14:textId="7777777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A5E2E" w14:textId="77777777"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BBC3E" w14:textId="236B5A9D" w:rsidR="00385DC7" w:rsidRDefault="00665BCF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Hygienemaßnahmen bei </w:t>
            </w:r>
            <w:r w:rsidR="00374845">
              <w:rPr>
                <w:szCs w:val="22"/>
              </w:rPr>
              <w:t>Übertragbare Krankheiten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14C79" w14:textId="77777777"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 w14:paraId="2BCA044B" w14:textId="7777777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D4D44" w14:textId="77777777"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 w14:paraId="068416EC" w14:textId="7777777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73897" w14:textId="77777777" w:rsidR="007C1F59" w:rsidRPr="007C1F59" w:rsidRDefault="007C1F59" w:rsidP="007C1F5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C1F59">
              <w:rPr>
                <w:rFonts w:cs="Arial"/>
                <w:b/>
                <w:bCs/>
                <w:sz w:val="22"/>
                <w:szCs w:val="22"/>
              </w:rPr>
              <w:t xml:space="preserve">Enteritis </w:t>
            </w:r>
            <w:proofErr w:type="spellStart"/>
            <w:r w:rsidRPr="007C1F59">
              <w:rPr>
                <w:rFonts w:cs="Arial"/>
                <w:b/>
                <w:bCs/>
                <w:sz w:val="22"/>
                <w:szCs w:val="22"/>
              </w:rPr>
              <w:t>infectiosa</w:t>
            </w:r>
            <w:proofErr w:type="spellEnd"/>
          </w:p>
          <w:p w14:paraId="00137BE1" w14:textId="3E429C99" w:rsidR="00385DC7" w:rsidRPr="007C1F59" w:rsidRDefault="007C1F59" w:rsidP="007C1F59">
            <w:pPr>
              <w:rPr>
                <w:rFonts w:cs="Arial"/>
                <w:sz w:val="22"/>
                <w:szCs w:val="22"/>
              </w:rPr>
            </w:pPr>
            <w:r w:rsidRPr="007C1F59">
              <w:rPr>
                <w:rFonts w:cs="Arial"/>
                <w:sz w:val="22"/>
                <w:szCs w:val="22"/>
              </w:rPr>
              <w:t xml:space="preserve">(z. B. </w:t>
            </w:r>
            <w:proofErr w:type="spellStart"/>
            <w:r w:rsidRPr="007C1F59">
              <w:rPr>
                <w:rFonts w:cs="Arial"/>
                <w:sz w:val="22"/>
                <w:szCs w:val="22"/>
              </w:rPr>
              <w:t>Noro</w:t>
            </w:r>
            <w:proofErr w:type="spellEnd"/>
            <w:r w:rsidRPr="007C1F59">
              <w:rPr>
                <w:rFonts w:cs="Arial"/>
                <w:sz w:val="22"/>
                <w:szCs w:val="22"/>
              </w:rPr>
              <w:t>- oder Rotaviren)</w:t>
            </w:r>
          </w:p>
        </w:tc>
      </w:tr>
    </w:tbl>
    <w:p w14:paraId="4B7FCE2F" w14:textId="77777777" w:rsidR="00825B55" w:rsidRPr="00825B55" w:rsidRDefault="00825B55" w:rsidP="00825B55">
      <w:pPr>
        <w:jc w:val="both"/>
        <w:rPr>
          <w:b/>
          <w:bCs/>
        </w:rPr>
      </w:pPr>
    </w:p>
    <w:p w14:paraId="5F47ED04" w14:textId="53EE78D8" w:rsidR="00665BCF" w:rsidRPr="00665BCF" w:rsidRDefault="00665BCF" w:rsidP="00665BCF">
      <w:pPr>
        <w:jc w:val="both"/>
        <w:rPr>
          <w:b/>
          <w:bCs/>
        </w:rPr>
      </w:pPr>
      <w:r w:rsidRPr="00665BCF">
        <w:rPr>
          <w:b/>
          <w:bCs/>
        </w:rPr>
        <w:t>Allgemeine Informationen</w:t>
      </w:r>
    </w:p>
    <w:p w14:paraId="2E787D23" w14:textId="77777777" w:rsidR="00665BCF" w:rsidRDefault="00665BCF" w:rsidP="00665BCF">
      <w:pPr>
        <w:jc w:val="both"/>
      </w:pPr>
    </w:p>
    <w:p w14:paraId="4F850328" w14:textId="2E736F52" w:rsidR="00665BCF" w:rsidRDefault="00665BCF" w:rsidP="00665BCF">
      <w:pPr>
        <w:jc w:val="both"/>
      </w:pPr>
      <w:r>
        <w:t>Um eine Übertragung bzw. Weiterverbreitung von Krankheitserregern zu verhindern, sind beim Auftreten bestimmter Erreger oder Infektionen die Maßnahmen der Basishygiene durch geeignete Regelungen zu ergänzen. Der Übertragungsweg kann unterbrochen</w:t>
      </w:r>
      <w:r>
        <w:t xml:space="preserve"> </w:t>
      </w:r>
      <w:r>
        <w:t>werden durch die Vermeidung bzw. Minimierung von Kontakten, den Einsatz persönlicher</w:t>
      </w:r>
    </w:p>
    <w:p w14:paraId="3CD6F717" w14:textId="5A6CC60A" w:rsidR="00665BCF" w:rsidRDefault="00665BCF" w:rsidP="00665BCF">
      <w:pPr>
        <w:jc w:val="both"/>
      </w:pPr>
      <w:r>
        <w:t>Schutzausrüstung oder eine Anpassung der Desinfektionsmaßnahmen.</w:t>
      </w:r>
    </w:p>
    <w:p w14:paraId="19F645C0" w14:textId="77777777" w:rsidR="00665BCF" w:rsidRDefault="00665BCF" w:rsidP="00665BCF">
      <w:pPr>
        <w:jc w:val="both"/>
      </w:pPr>
    </w:p>
    <w:p w14:paraId="1DD1F3DE" w14:textId="77777777" w:rsidR="00665BCF" w:rsidRDefault="00665BCF" w:rsidP="00665BCF">
      <w:pPr>
        <w:jc w:val="both"/>
      </w:pPr>
      <w:r>
        <w:t>Unabhängig davon, wo der Patient behandelt wird, sind die erforderlichen Maßnahmen der</w:t>
      </w:r>
    </w:p>
    <w:p w14:paraId="52EA7C64" w14:textId="77777777" w:rsidR="00665BCF" w:rsidRDefault="00665BCF" w:rsidP="00665BCF">
      <w:pPr>
        <w:jc w:val="both"/>
      </w:pPr>
      <w:r>
        <w:t xml:space="preserve">Hygiene einzuhalten. Daher gelten entsprechende Vorgaben auch bei Heim- und Hausbesuchen. Vor einem Patiententransport ist der Transport- oder Rettungsdienst über die Infektiosität des Patienten zu informieren. </w:t>
      </w:r>
    </w:p>
    <w:p w14:paraId="5452FDFF" w14:textId="77777777" w:rsidR="00665BCF" w:rsidRDefault="00665BCF" w:rsidP="00665BCF">
      <w:pPr>
        <w:jc w:val="both"/>
      </w:pPr>
    </w:p>
    <w:p w14:paraId="74A65676" w14:textId="77777777" w:rsidR="00665BCF" w:rsidRDefault="00665BCF" w:rsidP="00665BCF">
      <w:pPr>
        <w:jc w:val="both"/>
      </w:pPr>
      <w:r>
        <w:t>Für Tätigkeiten außerhalb der Praxis kann der Einsatz von</w:t>
      </w:r>
      <w:r>
        <w:t xml:space="preserve"> </w:t>
      </w:r>
      <w:r>
        <w:t>(gebrauchsfertigem) Einmalmaterial sinnvoll sein, das vor Ort entsorgt wird.</w:t>
      </w:r>
      <w:r>
        <w:t xml:space="preserve"> </w:t>
      </w:r>
      <w:r>
        <w:t>Auch sollten gemäß den aktuellen Empfehlungen der Ständigen Impfkommission am Robert</w:t>
      </w:r>
      <w:r>
        <w:t xml:space="preserve"> </w:t>
      </w:r>
      <w:r>
        <w:t xml:space="preserve">Koch-Institut (STIKO am RKI) Arzt und Praxismitarbeiter gegen alle </w:t>
      </w:r>
      <w:proofErr w:type="spellStart"/>
      <w:r>
        <w:t>impfpräventablen</w:t>
      </w:r>
      <w:proofErr w:type="spellEnd"/>
      <w:r>
        <w:t xml:space="preserve"> Infektionskrankheiten vollständig geimpft sein. </w:t>
      </w:r>
    </w:p>
    <w:p w14:paraId="0DEE03D4" w14:textId="77777777" w:rsidR="00665BCF" w:rsidRDefault="00665BCF" w:rsidP="00665BCF">
      <w:pPr>
        <w:jc w:val="both"/>
      </w:pPr>
    </w:p>
    <w:p w14:paraId="09497BDE" w14:textId="77777777" w:rsidR="00665BCF" w:rsidRDefault="00665BCF" w:rsidP="00665BCF">
      <w:pPr>
        <w:jc w:val="both"/>
      </w:pPr>
      <w:r>
        <w:t>Ob und wie weit bei gesicherter Immunität gegenüber bestimmten Erkrankungen auf Teile der persönlichen Schutzausrüstung verzichtet</w:t>
      </w:r>
      <w:r>
        <w:t xml:space="preserve"> </w:t>
      </w:r>
      <w:r>
        <w:t xml:space="preserve">werden kann, ist im Einzelfall zu entscheiden. </w:t>
      </w:r>
    </w:p>
    <w:p w14:paraId="1E0F5D0C" w14:textId="77777777" w:rsidR="00665BCF" w:rsidRDefault="00665BCF" w:rsidP="00665BCF">
      <w:pPr>
        <w:jc w:val="both"/>
      </w:pPr>
    </w:p>
    <w:p w14:paraId="1CF2CEC6" w14:textId="5C1A6318" w:rsidR="00665BCF" w:rsidRDefault="00665BCF" w:rsidP="00665BCF">
      <w:pPr>
        <w:jc w:val="both"/>
      </w:pPr>
      <w:r>
        <w:t>Je nach Erkrankung und Impfstatus ist bei</w:t>
      </w:r>
      <w:r>
        <w:t xml:space="preserve"> </w:t>
      </w:r>
      <w:r>
        <w:t>ungeschützten Kontakten bei Bedarf eine Postexpositionsprophylaxe in Erwägung zu ziehen.</w:t>
      </w:r>
      <w:r>
        <w:t xml:space="preserve"> </w:t>
      </w:r>
      <w:r>
        <w:t>Die Gefahr einer Erregerübertragung ist nicht in jeder Situation und zu jedem Zeitpunkt gleich</w:t>
      </w:r>
      <w:r>
        <w:t xml:space="preserve"> </w:t>
      </w:r>
      <w:r>
        <w:t>hoch. Das Übertragungsrisiko kann unter anderem davon abhängig sein, in welchem Stadium</w:t>
      </w:r>
      <w:r>
        <w:t xml:space="preserve"> </w:t>
      </w:r>
      <w:r>
        <w:t>sich die Erkrankung befindet, ob eine wirksame Therapie begonnen wurde oder welchen Immunstatus der mögliche Empfänger hat. Daher sind für den Infektionsschutz die konkreten</w:t>
      </w:r>
      <w:r>
        <w:t xml:space="preserve"> </w:t>
      </w:r>
      <w:r>
        <w:t>Empfehlungen der KRINKO „Infektionsprävention im Rahmen der Pflege und Behandlung von</w:t>
      </w:r>
      <w:r>
        <w:t xml:space="preserve"> </w:t>
      </w:r>
      <w:r>
        <w:t xml:space="preserve">Patienten mit übertragbaren Krankheiten; Prävention und Kontrolle von </w:t>
      </w:r>
      <w:proofErr w:type="spellStart"/>
      <w:r>
        <w:t>Methicillinresistenten</w:t>
      </w:r>
      <w:proofErr w:type="spellEnd"/>
      <w:r>
        <w:t xml:space="preserve"> </w:t>
      </w:r>
      <w:proofErr w:type="spellStart"/>
      <w:r>
        <w:t>Staphylococcus</w:t>
      </w:r>
      <w:proofErr w:type="spellEnd"/>
      <w:r>
        <w:t xml:space="preserve"> </w:t>
      </w:r>
      <w:proofErr w:type="spellStart"/>
      <w:r>
        <w:t>aureus</w:t>
      </w:r>
      <w:proofErr w:type="spellEnd"/>
      <w:r>
        <w:t>-Stämmen (MRSA) in medizinischen und pflegerischen Einrichtungen;</w:t>
      </w:r>
      <w:r>
        <w:t xml:space="preserve"> </w:t>
      </w:r>
      <w:r>
        <w:t xml:space="preserve">Hygienemaßnahmen bei Infektionen oder Besiedlung mit multiresistenten gramnegativen Stäbchen (MRGN)“30 zu beachten. </w:t>
      </w:r>
    </w:p>
    <w:p w14:paraId="73E71658" w14:textId="77777777" w:rsidR="00665BCF" w:rsidRDefault="00665BCF" w:rsidP="00665BCF">
      <w:pPr>
        <w:jc w:val="both"/>
      </w:pPr>
    </w:p>
    <w:p w14:paraId="7A39B0B9" w14:textId="65741A37" w:rsidR="00D7357C" w:rsidRDefault="00665BCF" w:rsidP="00665BCF">
      <w:pPr>
        <w:jc w:val="both"/>
      </w:pPr>
      <w:r>
        <w:t>Sehr hilfreich sind auch weitere detaillierte Informationen zu</w:t>
      </w:r>
      <w:r>
        <w:t xml:space="preserve"> </w:t>
      </w:r>
      <w:r>
        <w:t>verschiedenen Infektionskrankheiten und -erregern des Robert Koch-Instituts</w:t>
      </w:r>
      <w:r>
        <w:t xml:space="preserve"> </w:t>
      </w:r>
      <w:r>
        <w:t>oder des</w:t>
      </w:r>
      <w:r>
        <w:t xml:space="preserve"> </w:t>
      </w:r>
      <w:r>
        <w:t>öffentlichen Gesundheitsdienstes.</w:t>
      </w:r>
      <w:r>
        <w:t xml:space="preserve"> </w:t>
      </w:r>
      <w:r>
        <w:t>In der Behandlung von Patienten mit übertragbaren Krankheiten ist die Meldepflicht nach IfSG</w:t>
      </w:r>
      <w:r>
        <w:t xml:space="preserve"> </w:t>
      </w:r>
      <w:r>
        <w:t>zu beachten. Meldepflichtige Krankheiten bzw. Nachweise von Krankheitserregern müssen an</w:t>
      </w:r>
      <w:r>
        <w:t xml:space="preserve"> </w:t>
      </w:r>
      <w:r>
        <w:t>das zuständige Gesundheitsamt gemeldet werden</w:t>
      </w:r>
      <w:r>
        <w:t>.</w:t>
      </w:r>
    </w:p>
    <w:p w14:paraId="1392C38B" w14:textId="77777777" w:rsidR="007C1F59" w:rsidRDefault="007C1F59" w:rsidP="007C1F59">
      <w:pPr>
        <w:jc w:val="both"/>
      </w:pPr>
    </w:p>
    <w:p w14:paraId="76B61FAD" w14:textId="4B72F0F5" w:rsidR="007C1F59" w:rsidRPr="007C1F59" w:rsidRDefault="007C1F59" w:rsidP="007C1F59">
      <w:pPr>
        <w:jc w:val="both"/>
        <w:rPr>
          <w:b/>
          <w:bCs/>
        </w:rPr>
      </w:pPr>
      <w:r w:rsidRPr="007C1F59">
        <w:rPr>
          <w:b/>
          <w:bCs/>
        </w:rPr>
        <w:t xml:space="preserve">Enteritis </w:t>
      </w:r>
      <w:proofErr w:type="spellStart"/>
      <w:r w:rsidRPr="007C1F59">
        <w:rPr>
          <w:b/>
          <w:bCs/>
        </w:rPr>
        <w:t>infectiosa</w:t>
      </w:r>
      <w:proofErr w:type="spellEnd"/>
    </w:p>
    <w:p w14:paraId="43EA15AD" w14:textId="77777777" w:rsidR="007C1F59" w:rsidRDefault="007C1F59" w:rsidP="007C1F59">
      <w:pPr>
        <w:jc w:val="both"/>
      </w:pPr>
      <w:r>
        <w:t xml:space="preserve">(z. B. </w:t>
      </w:r>
      <w:proofErr w:type="spellStart"/>
      <w:r>
        <w:t>Noro</w:t>
      </w:r>
      <w:proofErr w:type="spellEnd"/>
      <w:r>
        <w:t>- oder Rotaviren)</w:t>
      </w:r>
    </w:p>
    <w:p w14:paraId="277C5289" w14:textId="77777777" w:rsidR="007C1F59" w:rsidRDefault="007C1F59" w:rsidP="007C1F59">
      <w:pPr>
        <w:jc w:val="both"/>
      </w:pPr>
    </w:p>
    <w:p w14:paraId="08122671" w14:textId="5C58FEB6" w:rsidR="007C1F59" w:rsidRDefault="007C1F59" w:rsidP="007C1F59">
      <w:pPr>
        <w:jc w:val="both"/>
      </w:pPr>
      <w:r>
        <w:t>Der Patient wird bei gegebenem Verdacht direkt in das Behandlungszimmer gebracht</w:t>
      </w:r>
      <w:r>
        <w:t xml:space="preserve"> </w:t>
      </w:r>
      <w:r>
        <w:t>und nimmt möglichst nicht im Wartezimmer Platz.</w:t>
      </w:r>
    </w:p>
    <w:p w14:paraId="25C9CDE9" w14:textId="77777777" w:rsidR="007C1F59" w:rsidRDefault="007C1F59" w:rsidP="007C1F59">
      <w:pPr>
        <w:jc w:val="both"/>
      </w:pPr>
    </w:p>
    <w:p w14:paraId="28D623D7" w14:textId="77777777" w:rsidR="007C1F59" w:rsidRDefault="007C1F59" w:rsidP="007C1F59">
      <w:pPr>
        <w:jc w:val="both"/>
      </w:pPr>
    </w:p>
    <w:p w14:paraId="721EF2A0" w14:textId="6BEA0D4E" w:rsidR="007C1F59" w:rsidRDefault="007C1F59" w:rsidP="007C1F59">
      <w:pPr>
        <w:jc w:val="both"/>
      </w:pPr>
      <w:r>
        <w:lastRenderedPageBreak/>
        <w:t>Der behandelnde Arzt und betreuende Mitarbeiter legen vor dem Patientenkontakt persönliche Schutzausrüstung (PSA) mit Handschuhen und langärmligem Schutzkittel an. Sofern die</w:t>
      </w:r>
      <w:r>
        <w:t xml:space="preserve"> </w:t>
      </w:r>
      <w:r>
        <w:t>Gefahr des Erbrechens beim Patienten besteht, wird zusätzlich ein Mund-Nasen-Schutz angelegt.</w:t>
      </w:r>
    </w:p>
    <w:p w14:paraId="54719D81" w14:textId="77777777" w:rsidR="007C1F59" w:rsidRDefault="007C1F59" w:rsidP="007C1F59">
      <w:pPr>
        <w:jc w:val="both"/>
      </w:pPr>
    </w:p>
    <w:p w14:paraId="6DBECB46" w14:textId="02F22A45" w:rsidR="007C1F59" w:rsidRDefault="007C1F59" w:rsidP="007C1F59">
      <w:pPr>
        <w:jc w:val="both"/>
      </w:pPr>
      <w:r>
        <w:t>Nach der Untersuchung und Behandlung wird die PSA abgelegt und ggf. der Schutzkittel</w:t>
      </w:r>
      <w:r>
        <w:t xml:space="preserve"> </w:t>
      </w:r>
      <w:r>
        <w:t>(wenn kein Einmalprodukt) zur Wäsche gegeben. Es erfolgt eine hygienische Händedesinfektion von Arzt und Praxismitarbeiter, eine Flächendesinfektion der Hand- und Hautkontaktstellen (z. B. Patientenstuhl, Untersuchungsliege, Türklinke) sowie eine Wischdesinfektion der</w:t>
      </w:r>
      <w:r>
        <w:t xml:space="preserve"> </w:t>
      </w:r>
      <w:r>
        <w:t>verwendeten unkritischen Medizinprodukte (z. B. Stethoskop, Blutdruckmanschette oder</w:t>
      </w:r>
      <w:r>
        <w:t xml:space="preserve"> </w:t>
      </w:r>
      <w:r>
        <w:t>vergleichbare Utensilien). Die Desinfektionsmittel müssen für die jeweilige Anwendung</w:t>
      </w:r>
      <w:r>
        <w:t xml:space="preserve"> </w:t>
      </w:r>
      <w:r>
        <w:t>geeignet sein.</w:t>
      </w:r>
    </w:p>
    <w:p w14:paraId="1F4C46B3" w14:textId="77777777" w:rsidR="007C1F59" w:rsidRDefault="007C1F59" w:rsidP="007C1F59">
      <w:pPr>
        <w:jc w:val="both"/>
      </w:pPr>
    </w:p>
    <w:p w14:paraId="4E9D0AEC" w14:textId="7680188A" w:rsidR="007C264E" w:rsidRDefault="007C1F59" w:rsidP="007C1F59">
      <w:pPr>
        <w:jc w:val="both"/>
      </w:pPr>
      <w:r>
        <w:t>Der Patient wird darauf hingewiesen, dass er einen Toilettengang beim Praxispersonal anzukündigen hat, damit im Anschluss eine Flächendesinfektion von WC-Brille, Spültaste, Armatur</w:t>
      </w:r>
      <w:r>
        <w:t xml:space="preserve"> </w:t>
      </w:r>
      <w:r>
        <w:t>am Waschbecken, Türriegel und Türklinken mit Flächendesinfektionsmittel durch das Praxispersonal erfolgen kann. Alternativ kann ein Desinfektionsmittel inkl. einer Anleitung zur Anwendung bereitgestellt werden.</w:t>
      </w:r>
    </w:p>
    <w:sectPr w:rsidR="007C264E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88208" w14:textId="77777777" w:rsidR="006D178F" w:rsidRDefault="006D178F">
      <w:r>
        <w:separator/>
      </w:r>
    </w:p>
  </w:endnote>
  <w:endnote w:type="continuationSeparator" w:id="0">
    <w:p w14:paraId="60EEE850" w14:textId="77777777" w:rsidR="006D178F" w:rsidRDefault="006D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2F826" w14:textId="77777777" w:rsidR="006D178F" w:rsidRDefault="006D178F">
      <w:r>
        <w:rPr>
          <w:color w:val="000000"/>
        </w:rPr>
        <w:ptab w:relativeTo="margin" w:alignment="center" w:leader="none"/>
      </w:r>
    </w:p>
  </w:footnote>
  <w:footnote w:type="continuationSeparator" w:id="0">
    <w:p w14:paraId="20A9202A" w14:textId="77777777" w:rsidR="006D178F" w:rsidRDefault="006D1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A1217"/>
    <w:multiLevelType w:val="multilevel"/>
    <w:tmpl w:val="79B47C3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" w15:restartNumberingAfterBreak="0">
    <w:nsid w:val="1F762286"/>
    <w:multiLevelType w:val="hybridMultilevel"/>
    <w:tmpl w:val="7F4AA5B6"/>
    <w:lvl w:ilvl="0" w:tplc="53B47F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05453"/>
    <w:multiLevelType w:val="multilevel"/>
    <w:tmpl w:val="846CB83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" w15:restartNumberingAfterBreak="0">
    <w:nsid w:val="28B6780A"/>
    <w:multiLevelType w:val="multilevel"/>
    <w:tmpl w:val="D00856E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4" w15:restartNumberingAfterBreak="0">
    <w:nsid w:val="2D3D4BCD"/>
    <w:multiLevelType w:val="multilevel"/>
    <w:tmpl w:val="94C8496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5" w15:restartNumberingAfterBreak="0">
    <w:nsid w:val="3BCF37F2"/>
    <w:multiLevelType w:val="multilevel"/>
    <w:tmpl w:val="0836695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6" w15:restartNumberingAfterBreak="0">
    <w:nsid w:val="3E3D798B"/>
    <w:multiLevelType w:val="multilevel"/>
    <w:tmpl w:val="51FC83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7" w15:restartNumberingAfterBreak="0">
    <w:nsid w:val="3EB27CA4"/>
    <w:multiLevelType w:val="hybridMultilevel"/>
    <w:tmpl w:val="09FA35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B665C"/>
    <w:multiLevelType w:val="multilevel"/>
    <w:tmpl w:val="6144E68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9" w15:restartNumberingAfterBreak="0">
    <w:nsid w:val="42EF1296"/>
    <w:multiLevelType w:val="multilevel"/>
    <w:tmpl w:val="873C8B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0" w15:restartNumberingAfterBreak="0">
    <w:nsid w:val="59F02193"/>
    <w:multiLevelType w:val="multilevel"/>
    <w:tmpl w:val="76D2C35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1" w15:restartNumberingAfterBreak="0">
    <w:nsid w:val="66A51CCD"/>
    <w:multiLevelType w:val="multilevel"/>
    <w:tmpl w:val="3E325BD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2" w15:restartNumberingAfterBreak="0">
    <w:nsid w:val="7393153F"/>
    <w:multiLevelType w:val="multilevel"/>
    <w:tmpl w:val="6C5A4A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3" w15:restartNumberingAfterBreak="0">
    <w:nsid w:val="75865593"/>
    <w:multiLevelType w:val="multilevel"/>
    <w:tmpl w:val="41C45E7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4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508176734">
    <w:abstractNumId w:val="14"/>
  </w:num>
  <w:num w:numId="2" w16cid:durableId="1247157333">
    <w:abstractNumId w:val="6"/>
  </w:num>
  <w:num w:numId="3" w16cid:durableId="1203058955">
    <w:abstractNumId w:val="8"/>
  </w:num>
  <w:num w:numId="4" w16cid:durableId="9374681">
    <w:abstractNumId w:val="2"/>
  </w:num>
  <w:num w:numId="5" w16cid:durableId="348720639">
    <w:abstractNumId w:val="4"/>
  </w:num>
  <w:num w:numId="6" w16cid:durableId="1118842059">
    <w:abstractNumId w:val="9"/>
  </w:num>
  <w:num w:numId="7" w16cid:durableId="809444674">
    <w:abstractNumId w:val="11"/>
  </w:num>
  <w:num w:numId="8" w16cid:durableId="1522091752">
    <w:abstractNumId w:val="12"/>
  </w:num>
  <w:num w:numId="9" w16cid:durableId="428359127">
    <w:abstractNumId w:val="5"/>
  </w:num>
  <w:num w:numId="10" w16cid:durableId="1136677222">
    <w:abstractNumId w:val="13"/>
  </w:num>
  <w:num w:numId="11" w16cid:durableId="455102863">
    <w:abstractNumId w:val="0"/>
  </w:num>
  <w:num w:numId="12" w16cid:durableId="306790471">
    <w:abstractNumId w:val="10"/>
  </w:num>
  <w:num w:numId="13" w16cid:durableId="2109695876">
    <w:abstractNumId w:val="3"/>
  </w:num>
  <w:num w:numId="14" w16cid:durableId="1848707904">
    <w:abstractNumId w:val="7"/>
  </w:num>
  <w:num w:numId="15" w16cid:durableId="1563364349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DC7"/>
    <w:rsid w:val="00076858"/>
    <w:rsid w:val="000D39AA"/>
    <w:rsid w:val="000E6921"/>
    <w:rsid w:val="001064B9"/>
    <w:rsid w:val="0016531C"/>
    <w:rsid w:val="001770F0"/>
    <w:rsid w:val="001C7ED4"/>
    <w:rsid w:val="00203B9D"/>
    <w:rsid w:val="00221105"/>
    <w:rsid w:val="002927EF"/>
    <w:rsid w:val="003172A9"/>
    <w:rsid w:val="00335B4D"/>
    <w:rsid w:val="00353A95"/>
    <w:rsid w:val="003658E9"/>
    <w:rsid w:val="00374845"/>
    <w:rsid w:val="00385DC7"/>
    <w:rsid w:val="003C03C9"/>
    <w:rsid w:val="003C448F"/>
    <w:rsid w:val="00405BB4"/>
    <w:rsid w:val="0041529E"/>
    <w:rsid w:val="004D3818"/>
    <w:rsid w:val="004E1A10"/>
    <w:rsid w:val="004F5DA1"/>
    <w:rsid w:val="00570C76"/>
    <w:rsid w:val="00575C2D"/>
    <w:rsid w:val="005C38CC"/>
    <w:rsid w:val="0065460A"/>
    <w:rsid w:val="00655BF2"/>
    <w:rsid w:val="00665BCF"/>
    <w:rsid w:val="006C3AAB"/>
    <w:rsid w:val="006D178F"/>
    <w:rsid w:val="006E4132"/>
    <w:rsid w:val="006F34E5"/>
    <w:rsid w:val="007061DB"/>
    <w:rsid w:val="007205BB"/>
    <w:rsid w:val="00725171"/>
    <w:rsid w:val="007351FE"/>
    <w:rsid w:val="007B29DB"/>
    <w:rsid w:val="007C041C"/>
    <w:rsid w:val="007C1F59"/>
    <w:rsid w:val="007C264E"/>
    <w:rsid w:val="007D7136"/>
    <w:rsid w:val="007F0229"/>
    <w:rsid w:val="00805313"/>
    <w:rsid w:val="0081330F"/>
    <w:rsid w:val="00825B55"/>
    <w:rsid w:val="00883AB1"/>
    <w:rsid w:val="00905320"/>
    <w:rsid w:val="00920C73"/>
    <w:rsid w:val="00A07E73"/>
    <w:rsid w:val="00A22D81"/>
    <w:rsid w:val="00A2478C"/>
    <w:rsid w:val="00A63818"/>
    <w:rsid w:val="00B53EC2"/>
    <w:rsid w:val="00B7254A"/>
    <w:rsid w:val="00B75423"/>
    <w:rsid w:val="00B96989"/>
    <w:rsid w:val="00BA52E2"/>
    <w:rsid w:val="00BD4C8D"/>
    <w:rsid w:val="00BE7874"/>
    <w:rsid w:val="00C97C21"/>
    <w:rsid w:val="00D231DD"/>
    <w:rsid w:val="00D7357C"/>
    <w:rsid w:val="00D75FFB"/>
    <w:rsid w:val="00D957A2"/>
    <w:rsid w:val="00DA1B48"/>
    <w:rsid w:val="00DA670B"/>
    <w:rsid w:val="00DF51C6"/>
    <w:rsid w:val="00E05876"/>
    <w:rsid w:val="00E21508"/>
    <w:rsid w:val="00E22A59"/>
    <w:rsid w:val="00F00374"/>
    <w:rsid w:val="00F3261D"/>
    <w:rsid w:val="00F6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1786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4845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25B55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74845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25B55"/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styleId="Funotenzeichen">
    <w:name w:val="footnote reference"/>
    <w:basedOn w:val="Absatz-Standardschriftart"/>
    <w:rsid w:val="00825B55"/>
    <w:rPr>
      <w:position w:val="0"/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825B5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70F0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70F0"/>
    <w:rPr>
      <w:rFonts w:ascii="Segoe UI" w:hAnsi="Segoe UI" w:cs="Mangal"/>
      <w:sz w:val="18"/>
      <w:szCs w:val="16"/>
    </w:rPr>
  </w:style>
  <w:style w:type="table" w:styleId="Tabellenraster">
    <w:name w:val="Table Grid"/>
    <w:basedOn w:val="NormaleTabelle"/>
    <w:uiPriority w:val="39"/>
    <w:rsid w:val="003172A9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0E6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2</cp:revision>
  <cp:lastPrinted>2022-05-27T12:25:00Z</cp:lastPrinted>
  <dcterms:created xsi:type="dcterms:W3CDTF">2022-12-27T14:17:00Z</dcterms:created>
  <dcterms:modified xsi:type="dcterms:W3CDTF">2022-12-27T14:17:00Z</dcterms:modified>
</cp:coreProperties>
</file>